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8848A" w14:textId="77777777" w:rsidR="005A1383" w:rsidRPr="009A0F89" w:rsidRDefault="001265B5" w:rsidP="009913DD">
      <w:pPr>
        <w:spacing w:after="120" w:line="360" w:lineRule="auto"/>
        <w:jc w:val="both"/>
        <w:rPr>
          <w:b/>
          <w:sz w:val="24"/>
          <w:szCs w:val="24"/>
        </w:rPr>
      </w:pPr>
      <w:r w:rsidRPr="009A0F89">
        <w:rPr>
          <w:b/>
          <w:sz w:val="24"/>
          <w:szCs w:val="24"/>
        </w:rPr>
        <w:t>ANALISI DELLA MORBIDITA’</w:t>
      </w:r>
      <w:r w:rsidR="003D3E65" w:rsidRPr="009A0F89">
        <w:rPr>
          <w:b/>
          <w:sz w:val="24"/>
          <w:szCs w:val="24"/>
        </w:rPr>
        <w:t xml:space="preserve"> PER CAUSA</w:t>
      </w:r>
    </w:p>
    <w:p w14:paraId="7861A09C" w14:textId="77777777" w:rsidR="00334DC3" w:rsidRPr="009A0F89" w:rsidRDefault="009A0F89" w:rsidP="009A0F89">
      <w:pPr>
        <w:spacing w:after="120" w:line="276" w:lineRule="auto"/>
        <w:jc w:val="both"/>
        <w:rPr>
          <w:sz w:val="24"/>
          <w:szCs w:val="24"/>
        </w:rPr>
      </w:pPr>
      <w:r w:rsidRPr="009A0F89">
        <w:rPr>
          <w:sz w:val="24"/>
          <w:szCs w:val="24"/>
        </w:rPr>
        <w:t>A cura di Michele Santoro e Fabrizio Bianchi, Reparto epidemiologia ambientale e registri di patologia, Istituto di Fisiologia Clinica del CNR, Pisa</w:t>
      </w:r>
      <w:r>
        <w:rPr>
          <w:sz w:val="24"/>
          <w:szCs w:val="24"/>
        </w:rPr>
        <w:t xml:space="preserve"> </w:t>
      </w:r>
    </w:p>
    <w:p w14:paraId="545B71E3" w14:textId="77777777" w:rsidR="006B2CCB" w:rsidRPr="009A0F89" w:rsidRDefault="006B2CCB" w:rsidP="009913DD">
      <w:pPr>
        <w:spacing w:after="120" w:line="360" w:lineRule="auto"/>
        <w:jc w:val="both"/>
        <w:rPr>
          <w:b/>
          <w:sz w:val="24"/>
          <w:szCs w:val="24"/>
        </w:rPr>
      </w:pPr>
    </w:p>
    <w:p w14:paraId="532CFCFC" w14:textId="77777777" w:rsidR="00334DC3" w:rsidRPr="009A0F89" w:rsidRDefault="00334DC3" w:rsidP="009913DD">
      <w:pPr>
        <w:spacing w:after="120" w:line="360" w:lineRule="auto"/>
        <w:jc w:val="both"/>
        <w:rPr>
          <w:b/>
          <w:sz w:val="24"/>
          <w:szCs w:val="24"/>
        </w:rPr>
      </w:pPr>
      <w:r w:rsidRPr="009A0F89">
        <w:rPr>
          <w:b/>
          <w:sz w:val="24"/>
          <w:szCs w:val="24"/>
        </w:rPr>
        <w:t>Obiettivo</w:t>
      </w:r>
    </w:p>
    <w:p w14:paraId="7FF2427C" w14:textId="77777777" w:rsidR="001265B5" w:rsidRPr="009A0F89" w:rsidRDefault="001265B5" w:rsidP="001265B5">
      <w:pPr>
        <w:spacing w:after="120" w:line="360" w:lineRule="auto"/>
        <w:ind w:firstLine="284"/>
        <w:jc w:val="both"/>
        <w:rPr>
          <w:sz w:val="24"/>
          <w:szCs w:val="24"/>
        </w:rPr>
      </w:pPr>
      <w:r w:rsidRPr="009A0F89">
        <w:rPr>
          <w:sz w:val="24"/>
          <w:szCs w:val="24"/>
        </w:rPr>
        <w:t xml:space="preserve">L’obiettivo dello studio è il calcolo di indicatori di rischio di ricovero per le principali malattie nella popolazione residente </w:t>
      </w:r>
      <w:r w:rsidR="0022616A" w:rsidRPr="009A0F89">
        <w:rPr>
          <w:sz w:val="24"/>
          <w:szCs w:val="24"/>
        </w:rPr>
        <w:t xml:space="preserve">nella regione Molise e nelle province di Isernia e Campobasso con un approfondimento </w:t>
      </w:r>
      <w:r w:rsidRPr="009A0F89">
        <w:rPr>
          <w:sz w:val="24"/>
          <w:szCs w:val="24"/>
        </w:rPr>
        <w:t>nell’area definita dai comuni di Pozzilli, Sesto Campano e Venafro</w:t>
      </w:r>
      <w:r w:rsidR="00DC3F02" w:rsidRPr="009A0F89">
        <w:rPr>
          <w:sz w:val="24"/>
          <w:szCs w:val="24"/>
        </w:rPr>
        <w:t>.</w:t>
      </w:r>
    </w:p>
    <w:p w14:paraId="0BED8151" w14:textId="77777777" w:rsidR="001265B5" w:rsidRPr="009A0F89" w:rsidRDefault="001265B5" w:rsidP="009913DD">
      <w:pPr>
        <w:spacing w:after="120" w:line="360" w:lineRule="auto"/>
        <w:jc w:val="both"/>
        <w:rPr>
          <w:sz w:val="24"/>
          <w:szCs w:val="24"/>
        </w:rPr>
      </w:pPr>
    </w:p>
    <w:p w14:paraId="3186B40D" w14:textId="77777777" w:rsidR="00334DC3" w:rsidRPr="009A0F89" w:rsidRDefault="00334DC3" w:rsidP="009913DD">
      <w:pPr>
        <w:spacing w:after="120" w:line="360" w:lineRule="auto"/>
        <w:jc w:val="both"/>
        <w:rPr>
          <w:b/>
          <w:sz w:val="24"/>
          <w:szCs w:val="24"/>
        </w:rPr>
      </w:pPr>
      <w:r w:rsidRPr="009A0F89">
        <w:rPr>
          <w:b/>
          <w:sz w:val="24"/>
          <w:szCs w:val="24"/>
        </w:rPr>
        <w:t>Materiale e Metodi</w:t>
      </w:r>
    </w:p>
    <w:p w14:paraId="17B63655" w14:textId="77777777" w:rsidR="0022616A" w:rsidRPr="009A0F89" w:rsidRDefault="00334DC3" w:rsidP="001265B5">
      <w:pPr>
        <w:spacing w:after="0" w:line="360" w:lineRule="auto"/>
        <w:ind w:firstLine="284"/>
        <w:jc w:val="both"/>
        <w:rPr>
          <w:sz w:val="24"/>
          <w:szCs w:val="24"/>
        </w:rPr>
      </w:pPr>
      <w:r w:rsidRPr="009A0F89">
        <w:rPr>
          <w:sz w:val="24"/>
          <w:szCs w:val="24"/>
        </w:rPr>
        <w:t xml:space="preserve">Per il calcolo degli indicatori sono stati utilizzati i dati di ricovero provenienti dal flusso informativo regionale delle Schede di Dimissione Ospedaliera (SDO). Sono stati estratti i ricoveri dei residenti nell’area in studio nel periodo 2006-2016. Sono stati considerati i ricoveri erogati dagli ospedali della regione Molise e </w:t>
      </w:r>
      <w:r w:rsidR="00213F20" w:rsidRPr="009A0F89">
        <w:rPr>
          <w:sz w:val="24"/>
          <w:szCs w:val="24"/>
        </w:rPr>
        <w:t>di altre regioni</w:t>
      </w:r>
      <w:r w:rsidRPr="009A0F89">
        <w:rPr>
          <w:sz w:val="24"/>
          <w:szCs w:val="24"/>
        </w:rPr>
        <w:t xml:space="preserve"> </w:t>
      </w:r>
      <w:r w:rsidR="001265B5" w:rsidRPr="009A0F89">
        <w:rPr>
          <w:sz w:val="24"/>
          <w:szCs w:val="24"/>
        </w:rPr>
        <w:t>italiane</w:t>
      </w:r>
      <w:r w:rsidR="00DC3F02" w:rsidRPr="009A0F89">
        <w:rPr>
          <w:sz w:val="24"/>
          <w:szCs w:val="24"/>
        </w:rPr>
        <w:t xml:space="preserve">, includendo pertanto la </w:t>
      </w:r>
      <w:r w:rsidRPr="009A0F89">
        <w:rPr>
          <w:sz w:val="24"/>
          <w:szCs w:val="24"/>
        </w:rPr>
        <w:t>mobilità passiva</w:t>
      </w:r>
      <w:r w:rsidR="001265B5" w:rsidRPr="009A0F89">
        <w:rPr>
          <w:sz w:val="24"/>
          <w:szCs w:val="24"/>
        </w:rPr>
        <w:t xml:space="preserve"> interregionale</w:t>
      </w:r>
      <w:r w:rsidRPr="009A0F89">
        <w:rPr>
          <w:sz w:val="24"/>
          <w:szCs w:val="24"/>
        </w:rPr>
        <w:t xml:space="preserve">. </w:t>
      </w:r>
      <w:r w:rsidR="00096355" w:rsidRPr="009A0F89">
        <w:rPr>
          <w:sz w:val="24"/>
          <w:szCs w:val="24"/>
        </w:rPr>
        <w:t>L’analisi è stata svolta considerando i soggetti ricoverati per le seguenti cause: tutti i tumori maligni, tumore del polmone, malattie del sistema circolatorio, malattie cardiache, malattie cerebrovascolari, malattie del sistema respiratorio, malattie respiratorie croniche, malattie respiratorie acute, malattie dell’apparato digerente, malattie dell’apparato urinario. Per la selezione dei soggetti ricoverati</w:t>
      </w:r>
      <w:r w:rsidR="001265B5" w:rsidRPr="009A0F89">
        <w:rPr>
          <w:sz w:val="24"/>
          <w:szCs w:val="24"/>
        </w:rPr>
        <w:t>,</w:t>
      </w:r>
      <w:r w:rsidR="00096355" w:rsidRPr="009A0F89">
        <w:rPr>
          <w:sz w:val="24"/>
          <w:szCs w:val="24"/>
        </w:rPr>
        <w:t xml:space="preserve"> sono stati selezionati, per ciascuna causa, i primi ricoveri avvenuti nel periodo in studio. </w:t>
      </w:r>
    </w:p>
    <w:p w14:paraId="444F2C07" w14:textId="77777777" w:rsidR="0022616A" w:rsidRPr="009A0F89" w:rsidRDefault="00096355" w:rsidP="001265B5">
      <w:pPr>
        <w:spacing w:after="0" w:line="360" w:lineRule="auto"/>
        <w:ind w:firstLine="284"/>
        <w:jc w:val="both"/>
        <w:rPr>
          <w:sz w:val="24"/>
          <w:szCs w:val="24"/>
        </w:rPr>
      </w:pPr>
      <w:r w:rsidRPr="009A0F89">
        <w:rPr>
          <w:sz w:val="24"/>
          <w:szCs w:val="24"/>
        </w:rPr>
        <w:t xml:space="preserve">Per ciascuna causa, e distintamente per uomini e donne, </w:t>
      </w:r>
      <w:r w:rsidR="0022616A" w:rsidRPr="009A0F89">
        <w:rPr>
          <w:sz w:val="24"/>
          <w:szCs w:val="24"/>
        </w:rPr>
        <w:t>sono stati calcolati i tassi di ricoverati per 10.000 abitanti standardizzati per età, corredati da intervallo di confidenza al 95% (IC95%). Per la standardizzazione è stata considerata la distribuzione per età della popolazione standard europea.</w:t>
      </w:r>
    </w:p>
    <w:p w14:paraId="2C58D785" w14:textId="77777777" w:rsidR="00351DE2" w:rsidRPr="009A0F89" w:rsidRDefault="0022616A" w:rsidP="005A5B4B">
      <w:pPr>
        <w:spacing w:after="120" w:line="360" w:lineRule="auto"/>
        <w:ind w:firstLine="284"/>
        <w:jc w:val="both"/>
        <w:rPr>
          <w:sz w:val="24"/>
          <w:szCs w:val="24"/>
        </w:rPr>
      </w:pPr>
      <w:proofErr w:type="gramStart"/>
      <w:r w:rsidRPr="009A0F89">
        <w:rPr>
          <w:sz w:val="24"/>
          <w:szCs w:val="24"/>
        </w:rPr>
        <w:t>E’</w:t>
      </w:r>
      <w:proofErr w:type="gramEnd"/>
      <w:r w:rsidRPr="009A0F89">
        <w:rPr>
          <w:sz w:val="24"/>
          <w:szCs w:val="24"/>
        </w:rPr>
        <w:t xml:space="preserve"> stata inoltre effettuata un’analisi specifica relativa ai residenti nell’Area definita dai comuni di Pozzilli, Sesto Campano e Venafro, ubicati nella provincia di Isernia. I</w:t>
      </w:r>
      <w:r w:rsidR="00213F20" w:rsidRPr="009A0F89">
        <w:rPr>
          <w:sz w:val="24"/>
          <w:szCs w:val="24"/>
        </w:rPr>
        <w:t xml:space="preserve">l numero di </w:t>
      </w:r>
      <w:r w:rsidR="00096355" w:rsidRPr="009A0F89">
        <w:rPr>
          <w:sz w:val="24"/>
          <w:szCs w:val="24"/>
        </w:rPr>
        <w:t xml:space="preserve">ricoverati </w:t>
      </w:r>
      <w:r w:rsidR="007231F6" w:rsidRPr="009A0F89">
        <w:rPr>
          <w:sz w:val="24"/>
          <w:szCs w:val="24"/>
        </w:rPr>
        <w:t xml:space="preserve">osservati </w:t>
      </w:r>
      <w:r w:rsidRPr="009A0F89">
        <w:rPr>
          <w:sz w:val="24"/>
          <w:szCs w:val="24"/>
        </w:rPr>
        <w:t>nell’A</w:t>
      </w:r>
      <w:r w:rsidR="00096355" w:rsidRPr="009A0F89">
        <w:rPr>
          <w:sz w:val="24"/>
          <w:szCs w:val="24"/>
        </w:rPr>
        <w:t>rea</w:t>
      </w:r>
      <w:r w:rsidRPr="009A0F89">
        <w:rPr>
          <w:sz w:val="24"/>
          <w:szCs w:val="24"/>
        </w:rPr>
        <w:t xml:space="preserve"> (denominata di seguito “Area di Venafro”) </w:t>
      </w:r>
      <w:r w:rsidR="00213F20" w:rsidRPr="009A0F89">
        <w:rPr>
          <w:sz w:val="24"/>
          <w:szCs w:val="24"/>
        </w:rPr>
        <w:t>è stato confrontato</w:t>
      </w:r>
      <w:r w:rsidR="00096355" w:rsidRPr="009A0F89">
        <w:rPr>
          <w:sz w:val="24"/>
          <w:szCs w:val="24"/>
        </w:rPr>
        <w:t xml:space="preserve"> </w:t>
      </w:r>
      <w:r w:rsidR="00213F20" w:rsidRPr="009A0F89">
        <w:rPr>
          <w:sz w:val="24"/>
          <w:szCs w:val="24"/>
        </w:rPr>
        <w:t>con il numero di</w:t>
      </w:r>
      <w:r w:rsidR="00096355" w:rsidRPr="009A0F89">
        <w:rPr>
          <w:sz w:val="24"/>
          <w:szCs w:val="24"/>
        </w:rPr>
        <w:t xml:space="preserve"> </w:t>
      </w:r>
      <w:r w:rsidR="007231F6" w:rsidRPr="009A0F89">
        <w:rPr>
          <w:sz w:val="24"/>
          <w:szCs w:val="24"/>
        </w:rPr>
        <w:t>casi</w:t>
      </w:r>
      <w:r w:rsidR="00096355" w:rsidRPr="009A0F89">
        <w:rPr>
          <w:sz w:val="24"/>
          <w:szCs w:val="24"/>
        </w:rPr>
        <w:t xml:space="preserve"> </w:t>
      </w:r>
      <w:r w:rsidR="00213F20" w:rsidRPr="009A0F89">
        <w:rPr>
          <w:sz w:val="24"/>
          <w:szCs w:val="24"/>
        </w:rPr>
        <w:t>attesi definito</w:t>
      </w:r>
      <w:r w:rsidR="007231F6" w:rsidRPr="009A0F89">
        <w:rPr>
          <w:sz w:val="24"/>
          <w:szCs w:val="24"/>
        </w:rPr>
        <w:t xml:space="preserve"> sulla base dei ricoverati</w:t>
      </w:r>
      <w:r w:rsidR="00DC3F02" w:rsidRPr="009A0F89">
        <w:rPr>
          <w:sz w:val="24"/>
          <w:szCs w:val="24"/>
        </w:rPr>
        <w:t xml:space="preserve"> per classi di età dei residenti n</w:t>
      </w:r>
      <w:r w:rsidR="007231F6" w:rsidRPr="009A0F89">
        <w:rPr>
          <w:sz w:val="24"/>
          <w:szCs w:val="24"/>
        </w:rPr>
        <w:t xml:space="preserve">ella </w:t>
      </w:r>
      <w:r w:rsidR="00096355" w:rsidRPr="009A0F89">
        <w:rPr>
          <w:sz w:val="24"/>
          <w:szCs w:val="24"/>
        </w:rPr>
        <w:t>regione Molise</w:t>
      </w:r>
      <w:r w:rsidR="00351DE2" w:rsidRPr="009A0F89">
        <w:rPr>
          <w:sz w:val="24"/>
          <w:szCs w:val="24"/>
        </w:rPr>
        <w:t xml:space="preserve">. </w:t>
      </w:r>
      <w:r w:rsidRPr="009A0F89">
        <w:rPr>
          <w:sz w:val="24"/>
          <w:szCs w:val="24"/>
        </w:rPr>
        <w:t xml:space="preserve"> </w:t>
      </w:r>
      <w:r w:rsidR="00351DE2" w:rsidRPr="009A0F89">
        <w:rPr>
          <w:sz w:val="24"/>
          <w:szCs w:val="24"/>
        </w:rPr>
        <w:t>Come indicatore di rischio epidemiologico, è stato calcolato il rapporto standardizzato per età di ospedalizzazione (SHR)</w:t>
      </w:r>
      <w:r w:rsidR="00D6181A" w:rsidRPr="009A0F89">
        <w:rPr>
          <w:sz w:val="24"/>
          <w:szCs w:val="24"/>
        </w:rPr>
        <w:t>, moltiplicato per 100,</w:t>
      </w:r>
      <w:r w:rsidR="00351DE2" w:rsidRPr="009A0F89">
        <w:rPr>
          <w:sz w:val="24"/>
          <w:szCs w:val="24"/>
        </w:rPr>
        <w:t xml:space="preserve"> corredato da intervallo di confidenza</w:t>
      </w:r>
      <w:r w:rsidR="00D6181A" w:rsidRPr="009A0F89">
        <w:rPr>
          <w:sz w:val="24"/>
          <w:szCs w:val="24"/>
        </w:rPr>
        <w:t xml:space="preserve"> </w:t>
      </w:r>
      <w:r w:rsidR="00351DE2" w:rsidRPr="009A0F89">
        <w:rPr>
          <w:sz w:val="24"/>
          <w:szCs w:val="24"/>
        </w:rPr>
        <w:t>al 95%</w:t>
      </w:r>
      <w:r w:rsidR="00D6181A" w:rsidRPr="009A0F89">
        <w:rPr>
          <w:sz w:val="24"/>
          <w:szCs w:val="24"/>
        </w:rPr>
        <w:t xml:space="preserve"> (IC95%)</w:t>
      </w:r>
      <w:r w:rsidR="00351DE2" w:rsidRPr="009A0F89">
        <w:rPr>
          <w:sz w:val="24"/>
          <w:szCs w:val="24"/>
        </w:rPr>
        <w:t>.</w:t>
      </w:r>
      <w:r w:rsidR="00D6181A" w:rsidRPr="009A0F89">
        <w:rPr>
          <w:sz w:val="24"/>
          <w:szCs w:val="24"/>
        </w:rPr>
        <w:t xml:space="preserve"> Un indicatore </w:t>
      </w:r>
      <w:r w:rsidR="00DC3F02" w:rsidRPr="009A0F89">
        <w:rPr>
          <w:sz w:val="24"/>
          <w:szCs w:val="24"/>
        </w:rPr>
        <w:t xml:space="preserve">con valore </w:t>
      </w:r>
      <w:r w:rsidR="00D6181A" w:rsidRPr="009A0F89">
        <w:rPr>
          <w:sz w:val="24"/>
          <w:szCs w:val="24"/>
        </w:rPr>
        <w:t>superiore a 100</w:t>
      </w:r>
      <w:r w:rsidR="00DC3F02" w:rsidRPr="009A0F89">
        <w:rPr>
          <w:sz w:val="24"/>
          <w:szCs w:val="24"/>
        </w:rPr>
        <w:t>,</w:t>
      </w:r>
      <w:r w:rsidR="00D6181A" w:rsidRPr="009A0F89">
        <w:rPr>
          <w:sz w:val="24"/>
          <w:szCs w:val="24"/>
        </w:rPr>
        <w:t xml:space="preserve"> indica un eccesso di casi osservat</w:t>
      </w:r>
      <w:r w:rsidR="00DC3F02" w:rsidRPr="009A0F89">
        <w:rPr>
          <w:sz w:val="24"/>
          <w:szCs w:val="24"/>
        </w:rPr>
        <w:t xml:space="preserve">i rispetto all’atteso regionale; se il </w:t>
      </w:r>
      <w:r w:rsidR="00DC3F02" w:rsidRPr="009A0F89">
        <w:rPr>
          <w:sz w:val="24"/>
          <w:szCs w:val="24"/>
        </w:rPr>
        <w:lastRenderedPageBreak/>
        <w:t>corrispettivo intervallo di confidenza è superiore a 100, allora l’eccesso si considera statisticamente significativo.</w:t>
      </w:r>
      <w:r w:rsidR="005A5B4B" w:rsidRPr="009A0F89">
        <w:rPr>
          <w:sz w:val="24"/>
          <w:szCs w:val="24"/>
        </w:rPr>
        <w:t xml:space="preserve"> </w:t>
      </w:r>
      <w:r w:rsidR="00351DE2" w:rsidRPr="009A0F89">
        <w:rPr>
          <w:sz w:val="24"/>
          <w:szCs w:val="24"/>
        </w:rPr>
        <w:t>Per il calcolo dei denominatori è stat</w:t>
      </w:r>
      <w:r w:rsidR="006E2B10" w:rsidRPr="009A0F89">
        <w:rPr>
          <w:sz w:val="24"/>
          <w:szCs w:val="24"/>
        </w:rPr>
        <w:t>a</w:t>
      </w:r>
      <w:r w:rsidR="00351DE2" w:rsidRPr="009A0F89">
        <w:rPr>
          <w:sz w:val="24"/>
          <w:szCs w:val="24"/>
        </w:rPr>
        <w:t xml:space="preserve"> utilizzata la popolazione residente per sesso e classe di età nell’area in studio e nella regione Molise</w:t>
      </w:r>
      <w:r w:rsidR="006E2B10" w:rsidRPr="009A0F89">
        <w:rPr>
          <w:sz w:val="24"/>
          <w:szCs w:val="24"/>
        </w:rPr>
        <w:t xml:space="preserve"> estratta dall’anagrafe degli assistiti regionali</w:t>
      </w:r>
      <w:r w:rsidR="00351DE2" w:rsidRPr="009A0F89">
        <w:rPr>
          <w:sz w:val="24"/>
          <w:szCs w:val="24"/>
        </w:rPr>
        <w:t>.</w:t>
      </w:r>
    </w:p>
    <w:p w14:paraId="6750CE06" w14:textId="77777777" w:rsidR="0022616A" w:rsidRPr="009A0F89" w:rsidRDefault="0022616A" w:rsidP="009913DD">
      <w:pPr>
        <w:spacing w:after="120" w:line="360" w:lineRule="auto"/>
        <w:jc w:val="both"/>
        <w:rPr>
          <w:sz w:val="24"/>
          <w:szCs w:val="24"/>
        </w:rPr>
      </w:pPr>
    </w:p>
    <w:p w14:paraId="21FCABAD" w14:textId="77777777" w:rsidR="005A5B4B" w:rsidRPr="009A0F89" w:rsidRDefault="005A5B4B" w:rsidP="009913DD">
      <w:pPr>
        <w:spacing w:after="120" w:line="360" w:lineRule="auto"/>
        <w:jc w:val="both"/>
        <w:rPr>
          <w:sz w:val="24"/>
          <w:szCs w:val="24"/>
        </w:rPr>
      </w:pPr>
    </w:p>
    <w:p w14:paraId="7552CA1C" w14:textId="77777777" w:rsidR="00334DC3" w:rsidRPr="009A0F89" w:rsidRDefault="00334DC3" w:rsidP="009913DD">
      <w:pPr>
        <w:spacing w:after="120" w:line="360" w:lineRule="auto"/>
        <w:jc w:val="both"/>
        <w:rPr>
          <w:b/>
          <w:sz w:val="24"/>
          <w:szCs w:val="24"/>
        </w:rPr>
      </w:pPr>
      <w:r w:rsidRPr="009A0F89">
        <w:rPr>
          <w:b/>
          <w:sz w:val="24"/>
          <w:szCs w:val="24"/>
        </w:rPr>
        <w:t>Risultati</w:t>
      </w:r>
    </w:p>
    <w:p w14:paraId="04209235" w14:textId="77777777" w:rsidR="00DD116F" w:rsidRPr="009A0F89" w:rsidRDefault="00DD116F" w:rsidP="009913DD">
      <w:pPr>
        <w:spacing w:after="120" w:line="360" w:lineRule="auto"/>
        <w:jc w:val="both"/>
        <w:rPr>
          <w:b/>
          <w:sz w:val="24"/>
          <w:szCs w:val="24"/>
        </w:rPr>
      </w:pPr>
    </w:p>
    <w:p w14:paraId="70959C72" w14:textId="77777777" w:rsidR="0022616A" w:rsidRPr="009A0F89" w:rsidRDefault="005A5B4B" w:rsidP="009913DD">
      <w:pPr>
        <w:spacing w:after="120" w:line="360" w:lineRule="auto"/>
        <w:jc w:val="both"/>
        <w:rPr>
          <w:b/>
          <w:sz w:val="24"/>
          <w:szCs w:val="24"/>
        </w:rPr>
      </w:pPr>
      <w:r w:rsidRPr="009A0F89">
        <w:rPr>
          <w:b/>
          <w:sz w:val="24"/>
          <w:szCs w:val="24"/>
        </w:rPr>
        <w:t xml:space="preserve"> - Tassi di ricoverati per r</w:t>
      </w:r>
      <w:r w:rsidR="0022616A" w:rsidRPr="009A0F89">
        <w:rPr>
          <w:b/>
          <w:sz w:val="24"/>
          <w:szCs w:val="24"/>
        </w:rPr>
        <w:t>egione e provincia</w:t>
      </w:r>
    </w:p>
    <w:p w14:paraId="369FAD29" w14:textId="77777777" w:rsidR="00DD116F" w:rsidRPr="009A0F89" w:rsidRDefault="00DD116F" w:rsidP="00DD116F">
      <w:pPr>
        <w:spacing w:after="120" w:line="360" w:lineRule="auto"/>
        <w:jc w:val="both"/>
        <w:rPr>
          <w:sz w:val="24"/>
          <w:szCs w:val="24"/>
        </w:rPr>
      </w:pPr>
      <w:r w:rsidRPr="009A0F89">
        <w:rPr>
          <w:sz w:val="24"/>
          <w:szCs w:val="24"/>
        </w:rPr>
        <w:t>Nelle figure 1 e 2, e nelle tabelle 1-6, sono riportati i tassi standardizzati per età della regione Molise e delle province di Campobasso e Isernia. L’analisi dei tassi di ospedalizzazione 2006-2016 per provincia mostra un profilo simile per uomini e donne. Per gli uomini si osservano tassi di ricovero più elevati nella provincia di Campobasso per il totale dei tumori maligni, per le malattie dell’apparato digerente e dell’apparato urinario, mentre nella provincia di Isernia sono più elevati i ricoveri per malattie del sistema circolatorio, sia per malattie del cuore sia, in maggior misura, cerebrovascolari, e per malattie respiratorie, in particolare acute. I tassi di ricovero per tumore del polmone risultano sostanzialmente allineati nelle due province.</w:t>
      </w:r>
      <w:r w:rsidR="005A5B4B" w:rsidRPr="009A0F89">
        <w:rPr>
          <w:sz w:val="24"/>
          <w:szCs w:val="24"/>
        </w:rPr>
        <w:t xml:space="preserve"> </w:t>
      </w:r>
      <w:r w:rsidRPr="009A0F89">
        <w:rPr>
          <w:sz w:val="24"/>
          <w:szCs w:val="24"/>
        </w:rPr>
        <w:t>Tra le donne, si conferma quanto osservato per gli uomini con l’eccezione per i ricoveri per tumori maligni, anch’essi più elevati in provincia di Isernia.</w:t>
      </w:r>
    </w:p>
    <w:p w14:paraId="26C2DF87" w14:textId="77777777" w:rsidR="00DD116F" w:rsidRPr="009A0F89" w:rsidRDefault="00DD116F" w:rsidP="00DD116F">
      <w:pPr>
        <w:spacing w:after="120" w:line="360" w:lineRule="auto"/>
        <w:jc w:val="both"/>
        <w:rPr>
          <w:sz w:val="24"/>
          <w:szCs w:val="24"/>
        </w:rPr>
      </w:pPr>
      <w:r w:rsidRPr="009A0F89">
        <w:rPr>
          <w:sz w:val="24"/>
          <w:szCs w:val="24"/>
        </w:rPr>
        <w:t>Il tratto generale distintivo dei ricoveri ospedalieri tra le due province è di una prevalenza delle cause circolatorie e respiratorie in provincia di Isernia e delle malattie dell’apparato digerente e urinario nella provincia di Campobasso, mentre i tumori mostrano una situazione diversa tra uomini e donne.</w:t>
      </w:r>
    </w:p>
    <w:p w14:paraId="1D060B85" w14:textId="77777777" w:rsidR="00DD116F" w:rsidRPr="009A0F89" w:rsidRDefault="00DD116F" w:rsidP="00DD116F">
      <w:pPr>
        <w:spacing w:after="120" w:line="360" w:lineRule="auto"/>
        <w:jc w:val="both"/>
        <w:rPr>
          <w:sz w:val="24"/>
          <w:szCs w:val="24"/>
        </w:rPr>
      </w:pPr>
      <w:r w:rsidRPr="009A0F89">
        <w:rPr>
          <w:sz w:val="24"/>
          <w:szCs w:val="24"/>
        </w:rPr>
        <w:t>Le differenze osservate su dati aggregati relativi a due ambiti provinciali diversi per dimensione ed eterogeni al loro interno, comprendenti cioè territori e rispettive popolazioni con caratteristiche diverse, sono suggestivi di differenti pressioni ambientali e sociali delle due macro aree, nelle quali la presenza dei comuni più abitati gioca senza dubbio un ruolo diverso.</w:t>
      </w:r>
    </w:p>
    <w:p w14:paraId="0BF4C01E" w14:textId="77777777" w:rsidR="0022616A" w:rsidRPr="009A0F89" w:rsidRDefault="0022616A" w:rsidP="009913DD">
      <w:pPr>
        <w:spacing w:after="120" w:line="360" w:lineRule="auto"/>
        <w:jc w:val="both"/>
        <w:rPr>
          <w:sz w:val="24"/>
          <w:szCs w:val="24"/>
        </w:rPr>
      </w:pPr>
    </w:p>
    <w:p w14:paraId="477AE75C" w14:textId="77777777" w:rsidR="00DD116F" w:rsidRPr="009A0F89" w:rsidRDefault="00DD116F" w:rsidP="00DD116F">
      <w:pPr>
        <w:spacing w:after="120" w:line="360" w:lineRule="auto"/>
        <w:jc w:val="both"/>
        <w:rPr>
          <w:b/>
          <w:sz w:val="24"/>
          <w:szCs w:val="24"/>
        </w:rPr>
      </w:pPr>
      <w:r w:rsidRPr="009A0F89">
        <w:rPr>
          <w:b/>
          <w:sz w:val="24"/>
          <w:szCs w:val="24"/>
        </w:rPr>
        <w:t>- Indicatori nell’Area di Venafro</w:t>
      </w:r>
    </w:p>
    <w:p w14:paraId="510A918F" w14:textId="77777777" w:rsidR="005A5B4B" w:rsidRPr="009A0F89" w:rsidRDefault="00DD116F" w:rsidP="009913DD">
      <w:pPr>
        <w:spacing w:after="120" w:line="360" w:lineRule="auto"/>
        <w:jc w:val="both"/>
        <w:rPr>
          <w:sz w:val="24"/>
          <w:szCs w:val="24"/>
        </w:rPr>
      </w:pPr>
      <w:r w:rsidRPr="009A0F89">
        <w:rPr>
          <w:sz w:val="24"/>
          <w:szCs w:val="24"/>
        </w:rPr>
        <w:lastRenderedPageBreak/>
        <w:t>Nelle Tabelle 7 e 8 sono riportati gli indicatori di rischio osservati nell’Area di Venafro, così come def</w:t>
      </w:r>
      <w:r w:rsidR="005A5B4B" w:rsidRPr="009A0F89">
        <w:rPr>
          <w:sz w:val="24"/>
          <w:szCs w:val="24"/>
        </w:rPr>
        <w:t>inita nella sezione dei metodi.</w:t>
      </w:r>
    </w:p>
    <w:p w14:paraId="1D7EEC53" w14:textId="77777777" w:rsidR="007231F6" w:rsidRPr="009A0F89" w:rsidRDefault="00F8706D" w:rsidP="009913DD">
      <w:pPr>
        <w:spacing w:after="120" w:line="360" w:lineRule="auto"/>
        <w:jc w:val="both"/>
        <w:rPr>
          <w:sz w:val="24"/>
          <w:szCs w:val="24"/>
        </w:rPr>
      </w:pPr>
      <w:r w:rsidRPr="009A0F89">
        <w:rPr>
          <w:sz w:val="24"/>
          <w:szCs w:val="24"/>
        </w:rPr>
        <w:t xml:space="preserve">Negli uomini (Tabella </w:t>
      </w:r>
      <w:r w:rsidR="00567979" w:rsidRPr="009A0F89">
        <w:rPr>
          <w:sz w:val="24"/>
          <w:szCs w:val="24"/>
        </w:rPr>
        <w:t>7</w:t>
      </w:r>
      <w:r w:rsidRPr="009A0F89">
        <w:rPr>
          <w:sz w:val="24"/>
          <w:szCs w:val="24"/>
        </w:rPr>
        <w:t xml:space="preserve">) si osservano eccessi di ricoverati nell’area in studio statisticamente significativi per le malattie del sistema circolatorio (SHR </w:t>
      </w:r>
      <w:r w:rsidR="00D6181A" w:rsidRPr="009A0F89">
        <w:rPr>
          <w:sz w:val="24"/>
          <w:szCs w:val="24"/>
        </w:rPr>
        <w:t>113,7; IC95%:</w:t>
      </w:r>
      <w:r w:rsidRPr="009A0F89">
        <w:rPr>
          <w:sz w:val="24"/>
          <w:szCs w:val="24"/>
        </w:rPr>
        <w:t xml:space="preserve"> </w:t>
      </w:r>
      <w:r w:rsidR="00D6181A" w:rsidRPr="009A0F89">
        <w:rPr>
          <w:sz w:val="24"/>
          <w:szCs w:val="24"/>
        </w:rPr>
        <w:t xml:space="preserve">107,5-120,1) </w:t>
      </w:r>
      <w:r w:rsidRPr="009A0F89">
        <w:rPr>
          <w:sz w:val="24"/>
          <w:szCs w:val="24"/>
        </w:rPr>
        <w:t>e pe</w:t>
      </w:r>
      <w:r w:rsidR="00D6181A" w:rsidRPr="009A0F89">
        <w:rPr>
          <w:sz w:val="24"/>
          <w:szCs w:val="24"/>
        </w:rPr>
        <w:t>r</w:t>
      </w:r>
      <w:r w:rsidRPr="009A0F89">
        <w:rPr>
          <w:sz w:val="24"/>
          <w:szCs w:val="24"/>
        </w:rPr>
        <w:t xml:space="preserve"> le malattie del sistema respiratorio</w:t>
      </w:r>
      <w:r w:rsidR="00D6181A" w:rsidRPr="009A0F89">
        <w:rPr>
          <w:sz w:val="24"/>
          <w:szCs w:val="24"/>
        </w:rPr>
        <w:t xml:space="preserve"> (SHR 109,3; IC95%: 101,4-117,6)</w:t>
      </w:r>
      <w:r w:rsidRPr="009A0F89">
        <w:rPr>
          <w:sz w:val="24"/>
          <w:szCs w:val="24"/>
        </w:rPr>
        <w:t xml:space="preserve">. Nell’ambito delle malattie del sistema circolatorio, si osservano eccessi </w:t>
      </w:r>
      <w:r w:rsidR="00DC3F02" w:rsidRPr="009A0F89">
        <w:rPr>
          <w:sz w:val="24"/>
          <w:szCs w:val="24"/>
        </w:rPr>
        <w:t xml:space="preserve">significativi </w:t>
      </w:r>
      <w:r w:rsidRPr="009A0F89">
        <w:rPr>
          <w:sz w:val="24"/>
          <w:szCs w:val="24"/>
        </w:rPr>
        <w:t>per le malattie cardiache</w:t>
      </w:r>
      <w:r w:rsidR="00D6181A" w:rsidRPr="009A0F89">
        <w:rPr>
          <w:sz w:val="24"/>
          <w:szCs w:val="24"/>
        </w:rPr>
        <w:t xml:space="preserve"> (SHR 111,1; IC95%: 103,6-118,9) </w:t>
      </w:r>
      <w:r w:rsidRPr="009A0F89">
        <w:rPr>
          <w:sz w:val="24"/>
          <w:szCs w:val="24"/>
        </w:rPr>
        <w:t>e per le malattie cerebrovascolari</w:t>
      </w:r>
      <w:r w:rsidR="00D6181A" w:rsidRPr="009A0F89">
        <w:rPr>
          <w:sz w:val="24"/>
          <w:szCs w:val="24"/>
        </w:rPr>
        <w:t xml:space="preserve"> (SHR 1</w:t>
      </w:r>
      <w:r w:rsidR="009913DD" w:rsidRPr="009A0F89">
        <w:rPr>
          <w:sz w:val="24"/>
          <w:szCs w:val="24"/>
        </w:rPr>
        <w:t>58,1</w:t>
      </w:r>
      <w:r w:rsidR="00D6181A" w:rsidRPr="009A0F89">
        <w:rPr>
          <w:sz w:val="24"/>
          <w:szCs w:val="24"/>
        </w:rPr>
        <w:t>; IC95%: 1</w:t>
      </w:r>
      <w:r w:rsidR="009913DD" w:rsidRPr="009A0F89">
        <w:rPr>
          <w:sz w:val="24"/>
          <w:szCs w:val="24"/>
        </w:rPr>
        <w:t>44</w:t>
      </w:r>
      <w:r w:rsidR="00D6181A" w:rsidRPr="009A0F89">
        <w:rPr>
          <w:sz w:val="24"/>
          <w:szCs w:val="24"/>
        </w:rPr>
        <w:t>,</w:t>
      </w:r>
      <w:r w:rsidR="009913DD" w:rsidRPr="009A0F89">
        <w:rPr>
          <w:sz w:val="24"/>
          <w:szCs w:val="24"/>
        </w:rPr>
        <w:t>2</w:t>
      </w:r>
      <w:r w:rsidR="00D6181A" w:rsidRPr="009A0F89">
        <w:rPr>
          <w:sz w:val="24"/>
          <w:szCs w:val="24"/>
        </w:rPr>
        <w:t>-1</w:t>
      </w:r>
      <w:r w:rsidR="009913DD" w:rsidRPr="009A0F89">
        <w:rPr>
          <w:sz w:val="24"/>
          <w:szCs w:val="24"/>
        </w:rPr>
        <w:t>73</w:t>
      </w:r>
      <w:r w:rsidR="00D6181A" w:rsidRPr="009A0F89">
        <w:rPr>
          <w:sz w:val="24"/>
          <w:szCs w:val="24"/>
        </w:rPr>
        <w:t>,</w:t>
      </w:r>
      <w:r w:rsidR="009913DD" w:rsidRPr="009A0F89">
        <w:rPr>
          <w:sz w:val="24"/>
          <w:szCs w:val="24"/>
        </w:rPr>
        <w:t>0</w:t>
      </w:r>
      <w:r w:rsidR="00D6181A" w:rsidRPr="009A0F89">
        <w:rPr>
          <w:sz w:val="24"/>
          <w:szCs w:val="24"/>
        </w:rPr>
        <w:t>)</w:t>
      </w:r>
      <w:r w:rsidRPr="009A0F89">
        <w:rPr>
          <w:sz w:val="24"/>
          <w:szCs w:val="24"/>
        </w:rPr>
        <w:t>. Tra le malattie respiratorie appaiono in eccesso solo le malattie croniche</w:t>
      </w:r>
      <w:r w:rsidR="009913DD" w:rsidRPr="009A0F89">
        <w:rPr>
          <w:sz w:val="24"/>
          <w:szCs w:val="24"/>
        </w:rPr>
        <w:t xml:space="preserve"> (SHR 171,5; IC95%: 143,7-203,1)</w:t>
      </w:r>
      <w:r w:rsidRPr="009A0F89">
        <w:rPr>
          <w:sz w:val="24"/>
          <w:szCs w:val="24"/>
        </w:rPr>
        <w:t>.  I ricoverati per tumori maligni considerati nel loro complesso risultano inferiori a quelli dei residenti nella regione</w:t>
      </w:r>
      <w:r w:rsidR="009913DD" w:rsidRPr="009A0F89">
        <w:rPr>
          <w:sz w:val="24"/>
          <w:szCs w:val="24"/>
        </w:rPr>
        <w:t xml:space="preserve"> (SHR 88,6; IC95%: 80,1-97,7)</w:t>
      </w:r>
      <w:r w:rsidRPr="009A0F89">
        <w:rPr>
          <w:sz w:val="24"/>
          <w:szCs w:val="24"/>
        </w:rPr>
        <w:t>. Un indicatore di rischio più basso si osserva anche per le malattie del sistema digerente</w:t>
      </w:r>
      <w:r w:rsidR="009913DD" w:rsidRPr="009A0F89">
        <w:rPr>
          <w:sz w:val="24"/>
          <w:szCs w:val="24"/>
        </w:rPr>
        <w:t xml:space="preserve"> (SHR 92,3; IC95%: 86,2-98,8)</w:t>
      </w:r>
      <w:r w:rsidRPr="009A0F89">
        <w:rPr>
          <w:sz w:val="24"/>
          <w:szCs w:val="24"/>
        </w:rPr>
        <w:t>.</w:t>
      </w:r>
    </w:p>
    <w:p w14:paraId="293CE9AC" w14:textId="77777777" w:rsidR="00F8706D" w:rsidRPr="009A0F89" w:rsidRDefault="00F8706D" w:rsidP="009913DD">
      <w:pPr>
        <w:spacing w:after="120" w:line="360" w:lineRule="auto"/>
        <w:jc w:val="both"/>
        <w:rPr>
          <w:sz w:val="24"/>
          <w:szCs w:val="24"/>
        </w:rPr>
      </w:pPr>
      <w:r w:rsidRPr="009A0F89">
        <w:rPr>
          <w:sz w:val="24"/>
          <w:szCs w:val="24"/>
        </w:rPr>
        <w:t xml:space="preserve">Anche nelle donne </w:t>
      </w:r>
      <w:r w:rsidR="00213F20" w:rsidRPr="009A0F89">
        <w:rPr>
          <w:sz w:val="24"/>
          <w:szCs w:val="24"/>
        </w:rPr>
        <w:t xml:space="preserve">residenti nell’area </w:t>
      </w:r>
      <w:r w:rsidR="00567979" w:rsidRPr="009A0F89">
        <w:rPr>
          <w:sz w:val="24"/>
          <w:szCs w:val="24"/>
        </w:rPr>
        <w:t>(Tabella 8</w:t>
      </w:r>
      <w:r w:rsidRPr="009A0F89">
        <w:rPr>
          <w:sz w:val="24"/>
          <w:szCs w:val="24"/>
        </w:rPr>
        <w:t>)</w:t>
      </w:r>
      <w:r w:rsidR="006B2CCB" w:rsidRPr="009A0F89">
        <w:rPr>
          <w:sz w:val="24"/>
          <w:szCs w:val="24"/>
        </w:rPr>
        <w:t>,</w:t>
      </w:r>
      <w:r w:rsidRPr="009A0F89">
        <w:rPr>
          <w:sz w:val="24"/>
          <w:szCs w:val="24"/>
        </w:rPr>
        <w:t xml:space="preserve"> si osservano eccessi </w:t>
      </w:r>
      <w:r w:rsidR="00213F20" w:rsidRPr="009A0F89">
        <w:rPr>
          <w:sz w:val="24"/>
          <w:szCs w:val="24"/>
        </w:rPr>
        <w:t xml:space="preserve">di ricoverati per le </w:t>
      </w:r>
      <w:r w:rsidRPr="009A0F89">
        <w:rPr>
          <w:sz w:val="24"/>
          <w:szCs w:val="24"/>
        </w:rPr>
        <w:t>malattie de</w:t>
      </w:r>
      <w:r w:rsidR="00D6181A" w:rsidRPr="009A0F89">
        <w:rPr>
          <w:sz w:val="24"/>
          <w:szCs w:val="24"/>
        </w:rPr>
        <w:t>l</w:t>
      </w:r>
      <w:r w:rsidRPr="009A0F89">
        <w:rPr>
          <w:sz w:val="24"/>
          <w:szCs w:val="24"/>
        </w:rPr>
        <w:t xml:space="preserve"> sistema circolatorio </w:t>
      </w:r>
      <w:r w:rsidR="00213F20" w:rsidRPr="009A0F89">
        <w:rPr>
          <w:sz w:val="24"/>
          <w:szCs w:val="24"/>
        </w:rPr>
        <w:t xml:space="preserve">(SHR 115,6; IC95%: 108,7-122,9) </w:t>
      </w:r>
      <w:r w:rsidRPr="009A0F89">
        <w:rPr>
          <w:sz w:val="24"/>
          <w:szCs w:val="24"/>
        </w:rPr>
        <w:t>e del sistema respiratorio</w:t>
      </w:r>
      <w:r w:rsidR="00213F20" w:rsidRPr="009A0F89">
        <w:rPr>
          <w:sz w:val="24"/>
          <w:szCs w:val="24"/>
        </w:rPr>
        <w:t xml:space="preserve"> </w:t>
      </w:r>
      <w:r w:rsidR="006B2CCB" w:rsidRPr="009A0F89">
        <w:rPr>
          <w:sz w:val="24"/>
          <w:szCs w:val="24"/>
        </w:rPr>
        <w:t>(</w:t>
      </w:r>
      <w:r w:rsidR="00213F20" w:rsidRPr="009A0F89">
        <w:rPr>
          <w:sz w:val="24"/>
          <w:szCs w:val="24"/>
        </w:rPr>
        <w:t>SHR 118,2; IC95%: 108,8-128,3)</w:t>
      </w:r>
      <w:r w:rsidRPr="009A0F89">
        <w:rPr>
          <w:sz w:val="24"/>
          <w:szCs w:val="24"/>
        </w:rPr>
        <w:t>. Così come nel profilo di ospedalizzazione delineato negli uomini, anche nelle donne emergono eccessi</w:t>
      </w:r>
      <w:r w:rsidR="003D3E65" w:rsidRPr="009A0F89">
        <w:rPr>
          <w:sz w:val="24"/>
          <w:szCs w:val="24"/>
        </w:rPr>
        <w:t xml:space="preserve"> </w:t>
      </w:r>
      <w:r w:rsidRPr="009A0F89">
        <w:rPr>
          <w:sz w:val="24"/>
          <w:szCs w:val="24"/>
        </w:rPr>
        <w:t>pe</w:t>
      </w:r>
      <w:r w:rsidR="003D3E65" w:rsidRPr="009A0F89">
        <w:rPr>
          <w:sz w:val="24"/>
          <w:szCs w:val="24"/>
        </w:rPr>
        <w:t xml:space="preserve">r </w:t>
      </w:r>
      <w:r w:rsidRPr="009A0F89">
        <w:rPr>
          <w:sz w:val="24"/>
          <w:szCs w:val="24"/>
        </w:rPr>
        <w:t>le malattie cardiache</w:t>
      </w:r>
      <w:r w:rsidR="00213F20" w:rsidRPr="009A0F89">
        <w:rPr>
          <w:sz w:val="24"/>
          <w:szCs w:val="24"/>
        </w:rPr>
        <w:t xml:space="preserve"> (SHR 109,0; IC95%: 100,7-117,9) </w:t>
      </w:r>
      <w:r w:rsidRPr="009A0F89">
        <w:rPr>
          <w:sz w:val="24"/>
          <w:szCs w:val="24"/>
        </w:rPr>
        <w:t>e cerebrovascolari</w:t>
      </w:r>
      <w:r w:rsidR="00213F20" w:rsidRPr="009A0F89">
        <w:rPr>
          <w:sz w:val="24"/>
          <w:szCs w:val="24"/>
        </w:rPr>
        <w:t xml:space="preserve"> (SHR 162,3; IC95%: 1</w:t>
      </w:r>
      <w:r w:rsidR="001265B5" w:rsidRPr="009A0F89">
        <w:rPr>
          <w:sz w:val="24"/>
          <w:szCs w:val="24"/>
        </w:rPr>
        <w:t>47</w:t>
      </w:r>
      <w:r w:rsidR="00213F20" w:rsidRPr="009A0F89">
        <w:rPr>
          <w:sz w:val="24"/>
          <w:szCs w:val="24"/>
        </w:rPr>
        <w:t>,</w:t>
      </w:r>
      <w:r w:rsidR="001265B5" w:rsidRPr="009A0F89">
        <w:rPr>
          <w:sz w:val="24"/>
          <w:szCs w:val="24"/>
        </w:rPr>
        <w:t>8</w:t>
      </w:r>
      <w:r w:rsidR="00213F20" w:rsidRPr="009A0F89">
        <w:rPr>
          <w:sz w:val="24"/>
          <w:szCs w:val="24"/>
        </w:rPr>
        <w:t>-1</w:t>
      </w:r>
      <w:r w:rsidR="001265B5" w:rsidRPr="009A0F89">
        <w:rPr>
          <w:sz w:val="24"/>
          <w:szCs w:val="24"/>
        </w:rPr>
        <w:t>77</w:t>
      </w:r>
      <w:r w:rsidR="00213F20" w:rsidRPr="009A0F89">
        <w:rPr>
          <w:sz w:val="24"/>
          <w:szCs w:val="24"/>
        </w:rPr>
        <w:t>,9)</w:t>
      </w:r>
      <w:r w:rsidRPr="009A0F89">
        <w:rPr>
          <w:sz w:val="24"/>
          <w:szCs w:val="24"/>
        </w:rPr>
        <w:t>, e per le mala</w:t>
      </w:r>
      <w:r w:rsidR="00D6181A" w:rsidRPr="009A0F89">
        <w:rPr>
          <w:sz w:val="24"/>
          <w:szCs w:val="24"/>
        </w:rPr>
        <w:t>ttie resp</w:t>
      </w:r>
      <w:r w:rsidRPr="009A0F89">
        <w:rPr>
          <w:sz w:val="24"/>
          <w:szCs w:val="24"/>
        </w:rPr>
        <w:t>iratorie nella componente cronica</w:t>
      </w:r>
      <w:r w:rsidR="001265B5" w:rsidRPr="009A0F89">
        <w:rPr>
          <w:sz w:val="24"/>
          <w:szCs w:val="24"/>
        </w:rPr>
        <w:t xml:space="preserve"> (SHR 171,3; IC95%: 136,3-212,7)</w:t>
      </w:r>
      <w:r w:rsidRPr="009A0F89">
        <w:rPr>
          <w:sz w:val="24"/>
          <w:szCs w:val="24"/>
        </w:rPr>
        <w:t>. Non si osservano cause con numero di ricoverati significativamente inferiori all’atteso.</w:t>
      </w:r>
    </w:p>
    <w:p w14:paraId="20DD23D5" w14:textId="77777777" w:rsidR="00DD116F" w:rsidRPr="009A0F89" w:rsidRDefault="00DD116F" w:rsidP="009913DD">
      <w:pPr>
        <w:spacing w:after="120" w:line="360" w:lineRule="auto"/>
        <w:jc w:val="both"/>
        <w:rPr>
          <w:sz w:val="24"/>
          <w:szCs w:val="24"/>
        </w:rPr>
      </w:pPr>
    </w:p>
    <w:p w14:paraId="5EB46CA2" w14:textId="77777777" w:rsidR="00DD116F" w:rsidRPr="009A0F89" w:rsidRDefault="00DD116F" w:rsidP="00DD116F">
      <w:pPr>
        <w:spacing w:after="120" w:line="360" w:lineRule="auto"/>
        <w:jc w:val="both"/>
        <w:rPr>
          <w:sz w:val="24"/>
          <w:szCs w:val="24"/>
        </w:rPr>
      </w:pPr>
      <w:r w:rsidRPr="009A0F89">
        <w:rPr>
          <w:sz w:val="24"/>
          <w:szCs w:val="24"/>
        </w:rPr>
        <w:t>Le analisi svolte per l’Area di Venafro (comuni di Venafro, Pozzilli e Sesto Campano) confermano il profilo emerso per l’intera provincia di Isernia, mostrando per le stesse cause cardiovascolari e respiratorie eccessi di ricovero elevati e statisticamente significativi.</w:t>
      </w:r>
    </w:p>
    <w:p w14:paraId="4AB85CEA" w14:textId="77777777" w:rsidR="00FF7ECB" w:rsidRDefault="00FF7ECB" w:rsidP="00DD116F">
      <w:pPr>
        <w:spacing w:after="120" w:line="360" w:lineRule="auto"/>
        <w:jc w:val="both"/>
      </w:pPr>
    </w:p>
    <w:p w14:paraId="1DD16396" w14:textId="77777777" w:rsidR="00FF7ECB" w:rsidRDefault="00FF7ECB" w:rsidP="00DD116F">
      <w:pPr>
        <w:spacing w:after="120" w:line="360" w:lineRule="auto"/>
        <w:jc w:val="both"/>
      </w:pPr>
    </w:p>
    <w:p w14:paraId="04E63E86" w14:textId="77777777" w:rsidR="00FF7ECB" w:rsidRDefault="00FF7ECB" w:rsidP="00DD116F">
      <w:pPr>
        <w:spacing w:after="120" w:line="360" w:lineRule="auto"/>
        <w:jc w:val="both"/>
      </w:pPr>
    </w:p>
    <w:p w14:paraId="0FF943AB" w14:textId="77777777" w:rsidR="00FF7ECB" w:rsidRDefault="00FF7ECB" w:rsidP="00DD116F">
      <w:pPr>
        <w:spacing w:after="120" w:line="360" w:lineRule="auto"/>
        <w:jc w:val="both"/>
      </w:pPr>
    </w:p>
    <w:p w14:paraId="68A5B84E" w14:textId="77777777" w:rsidR="00FF7ECB" w:rsidRDefault="00FF7ECB" w:rsidP="00DD116F">
      <w:pPr>
        <w:spacing w:after="120" w:line="360" w:lineRule="auto"/>
        <w:jc w:val="both"/>
      </w:pPr>
    </w:p>
    <w:p w14:paraId="389C8997" w14:textId="77777777" w:rsidR="00FF7ECB" w:rsidRDefault="00FF7ECB" w:rsidP="00DD116F">
      <w:pPr>
        <w:spacing w:after="120" w:line="360" w:lineRule="auto"/>
        <w:jc w:val="both"/>
      </w:pPr>
    </w:p>
    <w:p w14:paraId="685725FE" w14:textId="77777777" w:rsidR="00FF7ECB" w:rsidRDefault="00FF7ECB" w:rsidP="00DD116F">
      <w:pPr>
        <w:spacing w:after="120" w:line="360" w:lineRule="auto"/>
        <w:jc w:val="both"/>
      </w:pPr>
    </w:p>
    <w:p w14:paraId="72596DB1" w14:textId="77777777" w:rsidR="00FF7ECB" w:rsidRDefault="00FF7ECB" w:rsidP="00DD116F">
      <w:pPr>
        <w:spacing w:after="120" w:line="360" w:lineRule="auto"/>
        <w:jc w:val="both"/>
      </w:pPr>
    </w:p>
    <w:p w14:paraId="6BD21922" w14:textId="77777777" w:rsidR="00FF7ECB" w:rsidRPr="00567979" w:rsidRDefault="00FF7ECB" w:rsidP="00DD116F">
      <w:pPr>
        <w:spacing w:after="120" w:line="360" w:lineRule="auto"/>
        <w:jc w:val="both"/>
        <w:rPr>
          <w:b/>
        </w:rPr>
      </w:pPr>
      <w:r w:rsidRPr="00567979">
        <w:rPr>
          <w:b/>
        </w:rPr>
        <w:lastRenderedPageBreak/>
        <w:t xml:space="preserve">Figura 1. </w:t>
      </w:r>
      <w:r w:rsidR="00567979" w:rsidRPr="00567979">
        <w:rPr>
          <w:b/>
        </w:rPr>
        <w:t xml:space="preserve">Tassi </w:t>
      </w:r>
      <w:r w:rsidR="00567979">
        <w:rPr>
          <w:b/>
        </w:rPr>
        <w:t xml:space="preserve">di ricoverati </w:t>
      </w:r>
      <w:r w:rsidR="00567979" w:rsidRPr="00567979">
        <w:rPr>
          <w:b/>
        </w:rPr>
        <w:t>standardizzati per età per 10.000 ab.</w:t>
      </w:r>
      <w:r w:rsidR="00026930">
        <w:rPr>
          <w:b/>
        </w:rPr>
        <w:t xml:space="preserve"> </w:t>
      </w:r>
      <w:r w:rsidR="00026930" w:rsidRPr="00567979">
        <w:rPr>
          <w:b/>
        </w:rPr>
        <w:t>con IC95%</w:t>
      </w:r>
      <w:r w:rsidR="00026930">
        <w:rPr>
          <w:b/>
        </w:rPr>
        <w:t>,</w:t>
      </w:r>
      <w:r w:rsidR="00567979">
        <w:rPr>
          <w:b/>
        </w:rPr>
        <w:t xml:space="preserve"> 2006-2016. Uomini</w:t>
      </w:r>
    </w:p>
    <w:p w14:paraId="761B14AD" w14:textId="77777777" w:rsidR="00567979" w:rsidRDefault="00567979" w:rsidP="00DD116F">
      <w:pPr>
        <w:spacing w:after="120" w:line="360" w:lineRule="auto"/>
        <w:jc w:val="both"/>
        <w:rPr>
          <w:noProof/>
          <w:lang w:eastAsia="it-IT"/>
        </w:rPr>
      </w:pPr>
      <w:r w:rsidRPr="00567979">
        <w:rPr>
          <w:noProof/>
          <w:lang w:eastAsia="it-IT"/>
        </w:rPr>
        <w:drawing>
          <wp:inline distT="0" distB="0" distL="0" distR="0" wp14:anchorId="0C422BC2" wp14:editId="61955810">
            <wp:extent cx="4831200" cy="3607200"/>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1200" cy="3607200"/>
                    </a:xfrm>
                    <a:prstGeom prst="rect">
                      <a:avLst/>
                    </a:prstGeom>
                    <a:noFill/>
                    <a:ln>
                      <a:noFill/>
                    </a:ln>
                  </pic:spPr>
                </pic:pic>
              </a:graphicData>
            </a:graphic>
          </wp:inline>
        </w:drawing>
      </w:r>
    </w:p>
    <w:p w14:paraId="07F51D46" w14:textId="77777777" w:rsidR="00567979" w:rsidRDefault="00567979" w:rsidP="00DD116F">
      <w:pPr>
        <w:spacing w:after="120" w:line="360" w:lineRule="auto"/>
        <w:jc w:val="both"/>
        <w:rPr>
          <w:noProof/>
          <w:lang w:eastAsia="it-IT"/>
        </w:rPr>
      </w:pPr>
    </w:p>
    <w:p w14:paraId="6170B39C" w14:textId="77777777" w:rsidR="00567979" w:rsidRPr="00567979" w:rsidRDefault="00567979" w:rsidP="00567979">
      <w:pPr>
        <w:spacing w:after="120" w:line="360" w:lineRule="auto"/>
        <w:jc w:val="both"/>
        <w:rPr>
          <w:b/>
        </w:rPr>
      </w:pPr>
      <w:r>
        <w:rPr>
          <w:b/>
        </w:rPr>
        <w:t>Figura 2</w:t>
      </w:r>
      <w:r w:rsidRPr="00567979">
        <w:rPr>
          <w:b/>
        </w:rPr>
        <w:t xml:space="preserve">. Tassi </w:t>
      </w:r>
      <w:r>
        <w:rPr>
          <w:b/>
        </w:rPr>
        <w:t xml:space="preserve">di ricoverati </w:t>
      </w:r>
      <w:r w:rsidRPr="00567979">
        <w:rPr>
          <w:b/>
        </w:rPr>
        <w:t>standardizzati per età per 10.000 ab.</w:t>
      </w:r>
      <w:r w:rsidR="00026930" w:rsidRPr="00026930">
        <w:rPr>
          <w:b/>
        </w:rPr>
        <w:t xml:space="preserve"> </w:t>
      </w:r>
      <w:r w:rsidR="00026930" w:rsidRPr="00567979">
        <w:rPr>
          <w:b/>
        </w:rPr>
        <w:t>con IC95%</w:t>
      </w:r>
      <w:r w:rsidR="00026930">
        <w:rPr>
          <w:b/>
        </w:rPr>
        <w:t xml:space="preserve">, </w:t>
      </w:r>
      <w:r>
        <w:rPr>
          <w:b/>
        </w:rPr>
        <w:t xml:space="preserve"> 2006-2016. Donne</w:t>
      </w:r>
    </w:p>
    <w:p w14:paraId="3BA755D1" w14:textId="77777777" w:rsidR="00FF7ECB" w:rsidRPr="00DD116F" w:rsidRDefault="00567979" w:rsidP="00DD116F">
      <w:pPr>
        <w:spacing w:after="120" w:line="360" w:lineRule="auto"/>
        <w:jc w:val="both"/>
      </w:pPr>
      <w:r w:rsidRPr="00567979">
        <w:rPr>
          <w:noProof/>
          <w:lang w:eastAsia="it-IT"/>
        </w:rPr>
        <w:drawing>
          <wp:inline distT="0" distB="0" distL="0" distR="0" wp14:anchorId="39604C8F" wp14:editId="3E65CF42">
            <wp:extent cx="4874400" cy="3636000"/>
            <wp:effectExtent l="0" t="0" r="254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400" cy="3636000"/>
                    </a:xfrm>
                    <a:prstGeom prst="rect">
                      <a:avLst/>
                    </a:prstGeom>
                    <a:noFill/>
                    <a:ln>
                      <a:noFill/>
                    </a:ln>
                  </pic:spPr>
                </pic:pic>
              </a:graphicData>
            </a:graphic>
          </wp:inline>
        </w:drawing>
      </w:r>
    </w:p>
    <w:p w14:paraId="1D940D38" w14:textId="77777777" w:rsidR="00DD116F" w:rsidRDefault="00DD116F" w:rsidP="009913DD">
      <w:pPr>
        <w:spacing w:after="120" w:line="360" w:lineRule="auto"/>
        <w:jc w:val="both"/>
      </w:pPr>
    </w:p>
    <w:p w14:paraId="53CBCC19" w14:textId="77777777" w:rsidR="00213F20" w:rsidRDefault="00213F20" w:rsidP="00334DC3">
      <w:pPr>
        <w:jc w:val="both"/>
      </w:pPr>
    </w:p>
    <w:p w14:paraId="4C61C21C" w14:textId="77777777" w:rsidR="00567979" w:rsidRPr="00567979" w:rsidRDefault="00567979" w:rsidP="00567979">
      <w:pPr>
        <w:spacing w:after="0" w:line="240" w:lineRule="auto"/>
        <w:jc w:val="both"/>
        <w:rPr>
          <w:b/>
        </w:rPr>
      </w:pPr>
      <w:r w:rsidRPr="00567979">
        <w:rPr>
          <w:b/>
        </w:rPr>
        <w:lastRenderedPageBreak/>
        <w:t>Tab</w:t>
      </w:r>
      <w:r w:rsidR="007A159F">
        <w:rPr>
          <w:b/>
        </w:rPr>
        <w:t>ella</w:t>
      </w:r>
      <w:r w:rsidRPr="00567979">
        <w:rPr>
          <w:b/>
        </w:rPr>
        <w:t xml:space="preserve"> 1</w:t>
      </w:r>
      <w:r w:rsidR="007A159F">
        <w:rPr>
          <w:b/>
        </w:rPr>
        <w:t>.</w:t>
      </w:r>
      <w:r w:rsidRPr="00567979">
        <w:rPr>
          <w:b/>
        </w:rPr>
        <w:t xml:space="preserve"> Ricoverati 2006-2016; numero casi, tassi standardizzati per età X 10.000 abitanti con IC95%</w:t>
      </w:r>
    </w:p>
    <w:p w14:paraId="5D607CA5" w14:textId="77777777" w:rsidR="00567979" w:rsidRPr="00567979" w:rsidRDefault="00567979" w:rsidP="00567979">
      <w:pPr>
        <w:spacing w:after="0" w:line="240" w:lineRule="auto"/>
        <w:jc w:val="both"/>
        <w:rPr>
          <w:b/>
        </w:rPr>
      </w:pPr>
      <w:r w:rsidRPr="00567979">
        <w:rPr>
          <w:b/>
        </w:rPr>
        <w:t>Molise, Uomini.</w:t>
      </w:r>
    </w:p>
    <w:tbl>
      <w:tblPr>
        <w:tblStyle w:val="Grigliatabella"/>
        <w:tblW w:w="0" w:type="auto"/>
        <w:tblLook w:val="04A0" w:firstRow="1" w:lastRow="0" w:firstColumn="1" w:lastColumn="0" w:noHBand="0" w:noVBand="1"/>
      </w:tblPr>
      <w:tblGrid>
        <w:gridCol w:w="4800"/>
        <w:gridCol w:w="1420"/>
        <w:gridCol w:w="1420"/>
        <w:gridCol w:w="1500"/>
      </w:tblGrid>
      <w:tr w:rsidR="007A159F" w:rsidRPr="00567979" w14:paraId="313D8E7A" w14:textId="77777777" w:rsidTr="005A5B4B">
        <w:trPr>
          <w:trHeight w:val="480"/>
        </w:trPr>
        <w:tc>
          <w:tcPr>
            <w:tcW w:w="4800" w:type="dxa"/>
            <w:vAlign w:val="center"/>
            <w:hideMark/>
          </w:tcPr>
          <w:p w14:paraId="599AA2ED"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1C6947E6" w14:textId="77777777" w:rsidR="007A159F" w:rsidRPr="007A159F" w:rsidRDefault="007A159F" w:rsidP="007A159F">
            <w:pPr>
              <w:jc w:val="center"/>
              <w:rPr>
                <w:b/>
                <w:bCs/>
              </w:rPr>
            </w:pPr>
            <w:r w:rsidRPr="007A159F">
              <w:rPr>
                <w:b/>
                <w:bCs/>
              </w:rPr>
              <w:t>N</w:t>
            </w:r>
          </w:p>
        </w:tc>
        <w:tc>
          <w:tcPr>
            <w:tcW w:w="1420" w:type="dxa"/>
            <w:vAlign w:val="center"/>
            <w:hideMark/>
          </w:tcPr>
          <w:p w14:paraId="0DF80851"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7F63C305" w14:textId="77777777" w:rsidR="007A159F" w:rsidRPr="007A159F" w:rsidRDefault="007A159F" w:rsidP="007A159F">
            <w:pPr>
              <w:jc w:val="center"/>
              <w:rPr>
                <w:b/>
                <w:bCs/>
              </w:rPr>
            </w:pPr>
            <w:r w:rsidRPr="007A159F">
              <w:rPr>
                <w:b/>
                <w:bCs/>
              </w:rPr>
              <w:t>IC95%</w:t>
            </w:r>
          </w:p>
        </w:tc>
      </w:tr>
      <w:tr w:rsidR="007A159F" w:rsidRPr="00567979" w14:paraId="61C57CAB" w14:textId="77777777" w:rsidTr="00567979">
        <w:trPr>
          <w:trHeight w:val="310"/>
        </w:trPr>
        <w:tc>
          <w:tcPr>
            <w:tcW w:w="4800" w:type="dxa"/>
            <w:hideMark/>
          </w:tcPr>
          <w:p w14:paraId="218FBB4F" w14:textId="77777777" w:rsidR="007A159F" w:rsidRPr="00567979" w:rsidRDefault="007A159F" w:rsidP="007A159F">
            <w:pPr>
              <w:jc w:val="both"/>
            </w:pPr>
            <w:r w:rsidRPr="00567979">
              <w:t>Tutti i tumori maligni</w:t>
            </w:r>
          </w:p>
        </w:tc>
        <w:tc>
          <w:tcPr>
            <w:tcW w:w="1420" w:type="dxa"/>
            <w:hideMark/>
          </w:tcPr>
          <w:p w14:paraId="22118923" w14:textId="77777777" w:rsidR="007A159F" w:rsidRPr="00567979" w:rsidRDefault="007A159F" w:rsidP="007A159F">
            <w:pPr>
              <w:jc w:val="center"/>
            </w:pPr>
            <w:r w:rsidRPr="00567979">
              <w:t>9.649</w:t>
            </w:r>
          </w:p>
        </w:tc>
        <w:tc>
          <w:tcPr>
            <w:tcW w:w="1420" w:type="dxa"/>
            <w:hideMark/>
          </w:tcPr>
          <w:p w14:paraId="15C6C97A" w14:textId="77777777" w:rsidR="007A159F" w:rsidRPr="00567979" w:rsidRDefault="007A159F" w:rsidP="007A159F">
            <w:pPr>
              <w:jc w:val="center"/>
            </w:pPr>
            <w:r w:rsidRPr="00567979">
              <w:t>38,0</w:t>
            </w:r>
          </w:p>
        </w:tc>
        <w:tc>
          <w:tcPr>
            <w:tcW w:w="1500" w:type="dxa"/>
            <w:noWrap/>
            <w:hideMark/>
          </w:tcPr>
          <w:p w14:paraId="062C04EC" w14:textId="77777777" w:rsidR="007A159F" w:rsidRPr="00567979" w:rsidRDefault="007A159F" w:rsidP="007A159F">
            <w:pPr>
              <w:jc w:val="center"/>
            </w:pPr>
            <w:r w:rsidRPr="00567979">
              <w:t>37,2 - 38,8</w:t>
            </w:r>
          </w:p>
        </w:tc>
      </w:tr>
      <w:tr w:rsidR="007A159F" w:rsidRPr="00567979" w14:paraId="607C8E8D" w14:textId="77777777" w:rsidTr="00567979">
        <w:trPr>
          <w:trHeight w:val="310"/>
        </w:trPr>
        <w:tc>
          <w:tcPr>
            <w:tcW w:w="4800" w:type="dxa"/>
            <w:hideMark/>
          </w:tcPr>
          <w:p w14:paraId="704C8908" w14:textId="77777777" w:rsidR="007A159F" w:rsidRPr="00567979" w:rsidRDefault="007A159F" w:rsidP="007A159F">
            <w:pPr>
              <w:jc w:val="both"/>
            </w:pPr>
            <w:r w:rsidRPr="00567979">
              <w:t xml:space="preserve">   Tumore del polmone</w:t>
            </w:r>
          </w:p>
        </w:tc>
        <w:tc>
          <w:tcPr>
            <w:tcW w:w="1420" w:type="dxa"/>
            <w:hideMark/>
          </w:tcPr>
          <w:p w14:paraId="4331DABD" w14:textId="77777777" w:rsidR="007A159F" w:rsidRPr="00567979" w:rsidRDefault="007A159F" w:rsidP="007A159F">
            <w:pPr>
              <w:jc w:val="center"/>
            </w:pPr>
            <w:r w:rsidRPr="00567979">
              <w:t>1.098</w:t>
            </w:r>
          </w:p>
        </w:tc>
        <w:tc>
          <w:tcPr>
            <w:tcW w:w="1420" w:type="dxa"/>
            <w:hideMark/>
          </w:tcPr>
          <w:p w14:paraId="6AA14E9D" w14:textId="77777777" w:rsidR="007A159F" w:rsidRPr="00567979" w:rsidRDefault="007A159F" w:rsidP="007A159F">
            <w:pPr>
              <w:jc w:val="center"/>
            </w:pPr>
            <w:r w:rsidRPr="00567979">
              <w:t>4,1</w:t>
            </w:r>
          </w:p>
        </w:tc>
        <w:tc>
          <w:tcPr>
            <w:tcW w:w="1500" w:type="dxa"/>
            <w:noWrap/>
            <w:hideMark/>
          </w:tcPr>
          <w:p w14:paraId="4951C197" w14:textId="77777777" w:rsidR="007A159F" w:rsidRPr="00567979" w:rsidRDefault="007A159F" w:rsidP="007A159F">
            <w:pPr>
              <w:jc w:val="center"/>
            </w:pPr>
            <w:r w:rsidRPr="00567979">
              <w:t>3,9 - 4,4</w:t>
            </w:r>
          </w:p>
        </w:tc>
      </w:tr>
      <w:tr w:rsidR="007A159F" w:rsidRPr="00567979" w14:paraId="7C5B3A34" w14:textId="77777777" w:rsidTr="00567979">
        <w:trPr>
          <w:trHeight w:val="310"/>
        </w:trPr>
        <w:tc>
          <w:tcPr>
            <w:tcW w:w="4800" w:type="dxa"/>
            <w:hideMark/>
          </w:tcPr>
          <w:p w14:paraId="2575A91E" w14:textId="77777777" w:rsidR="007A159F" w:rsidRPr="00567979" w:rsidRDefault="007A159F" w:rsidP="007A159F">
            <w:pPr>
              <w:jc w:val="both"/>
            </w:pPr>
            <w:r w:rsidRPr="00567979">
              <w:t>Malattie del sistema circolatorio</w:t>
            </w:r>
          </w:p>
        </w:tc>
        <w:tc>
          <w:tcPr>
            <w:tcW w:w="1420" w:type="dxa"/>
            <w:hideMark/>
          </w:tcPr>
          <w:p w14:paraId="2DE59AF9" w14:textId="77777777" w:rsidR="007A159F" w:rsidRPr="00567979" w:rsidRDefault="007A159F" w:rsidP="007A159F">
            <w:pPr>
              <w:jc w:val="center"/>
            </w:pPr>
            <w:r w:rsidRPr="00567979">
              <w:t>23.299</w:t>
            </w:r>
          </w:p>
        </w:tc>
        <w:tc>
          <w:tcPr>
            <w:tcW w:w="1420" w:type="dxa"/>
            <w:hideMark/>
          </w:tcPr>
          <w:p w14:paraId="5C770956" w14:textId="77777777" w:rsidR="007A159F" w:rsidRPr="00567979" w:rsidRDefault="007A159F" w:rsidP="007A159F">
            <w:pPr>
              <w:jc w:val="center"/>
            </w:pPr>
            <w:r w:rsidRPr="00567979">
              <w:t>93,9</w:t>
            </w:r>
          </w:p>
        </w:tc>
        <w:tc>
          <w:tcPr>
            <w:tcW w:w="1500" w:type="dxa"/>
            <w:noWrap/>
            <w:hideMark/>
          </w:tcPr>
          <w:p w14:paraId="5DAE2200" w14:textId="77777777" w:rsidR="007A159F" w:rsidRPr="00567979" w:rsidRDefault="007A159F" w:rsidP="007A159F">
            <w:pPr>
              <w:jc w:val="center"/>
            </w:pPr>
            <w:r w:rsidRPr="00567979">
              <w:t>92,6 - 95,2</w:t>
            </w:r>
          </w:p>
        </w:tc>
      </w:tr>
      <w:tr w:rsidR="007A159F" w:rsidRPr="00567979" w14:paraId="583F5E5F" w14:textId="77777777" w:rsidTr="00567979">
        <w:trPr>
          <w:trHeight w:val="310"/>
        </w:trPr>
        <w:tc>
          <w:tcPr>
            <w:tcW w:w="4800" w:type="dxa"/>
            <w:hideMark/>
          </w:tcPr>
          <w:p w14:paraId="52D4E5C9" w14:textId="77777777" w:rsidR="007A159F" w:rsidRPr="00567979" w:rsidRDefault="007A159F" w:rsidP="007A159F">
            <w:pPr>
              <w:jc w:val="both"/>
            </w:pPr>
            <w:r w:rsidRPr="00567979">
              <w:t xml:space="preserve">   Malattie cardiache</w:t>
            </w:r>
          </w:p>
        </w:tc>
        <w:tc>
          <w:tcPr>
            <w:tcW w:w="1420" w:type="dxa"/>
            <w:hideMark/>
          </w:tcPr>
          <w:p w14:paraId="4C802477" w14:textId="77777777" w:rsidR="007A159F" w:rsidRPr="00567979" w:rsidRDefault="007A159F" w:rsidP="007A159F">
            <w:pPr>
              <w:jc w:val="center"/>
            </w:pPr>
            <w:r w:rsidRPr="00567979">
              <w:t>15.846</w:t>
            </w:r>
          </w:p>
        </w:tc>
        <w:tc>
          <w:tcPr>
            <w:tcW w:w="1420" w:type="dxa"/>
            <w:hideMark/>
          </w:tcPr>
          <w:p w14:paraId="6B03B7E7" w14:textId="77777777" w:rsidR="007A159F" w:rsidRPr="00567979" w:rsidRDefault="007A159F" w:rsidP="007A159F">
            <w:pPr>
              <w:jc w:val="center"/>
            </w:pPr>
            <w:r w:rsidRPr="00567979">
              <w:t>62,2</w:t>
            </w:r>
          </w:p>
        </w:tc>
        <w:tc>
          <w:tcPr>
            <w:tcW w:w="1500" w:type="dxa"/>
            <w:noWrap/>
            <w:hideMark/>
          </w:tcPr>
          <w:p w14:paraId="08B30E7C" w14:textId="77777777" w:rsidR="007A159F" w:rsidRPr="00567979" w:rsidRDefault="007A159F" w:rsidP="007A159F">
            <w:pPr>
              <w:jc w:val="center"/>
            </w:pPr>
            <w:r w:rsidRPr="00567979">
              <w:t>61,2 - 63,2</w:t>
            </w:r>
          </w:p>
        </w:tc>
      </w:tr>
      <w:tr w:rsidR="007A159F" w:rsidRPr="00567979" w14:paraId="4DB8593F" w14:textId="77777777" w:rsidTr="00567979">
        <w:trPr>
          <w:trHeight w:val="310"/>
        </w:trPr>
        <w:tc>
          <w:tcPr>
            <w:tcW w:w="4800" w:type="dxa"/>
            <w:hideMark/>
          </w:tcPr>
          <w:p w14:paraId="12144C9D" w14:textId="77777777" w:rsidR="007A159F" w:rsidRPr="00567979" w:rsidRDefault="007A159F" w:rsidP="007A159F">
            <w:pPr>
              <w:jc w:val="both"/>
            </w:pPr>
            <w:r w:rsidRPr="00567979">
              <w:t xml:space="preserve">   Malattie cerebrovascolari</w:t>
            </w:r>
          </w:p>
        </w:tc>
        <w:tc>
          <w:tcPr>
            <w:tcW w:w="1420" w:type="dxa"/>
            <w:hideMark/>
          </w:tcPr>
          <w:p w14:paraId="2FCBDE4E" w14:textId="77777777" w:rsidR="007A159F" w:rsidRPr="00567979" w:rsidRDefault="007A159F" w:rsidP="007A159F">
            <w:pPr>
              <w:jc w:val="center"/>
            </w:pPr>
            <w:r w:rsidRPr="00567979">
              <w:t>6.693</w:t>
            </w:r>
          </w:p>
        </w:tc>
        <w:tc>
          <w:tcPr>
            <w:tcW w:w="1420" w:type="dxa"/>
            <w:hideMark/>
          </w:tcPr>
          <w:p w14:paraId="3B1C23D0" w14:textId="77777777" w:rsidR="007A159F" w:rsidRPr="00567979" w:rsidRDefault="007A159F" w:rsidP="007A159F">
            <w:pPr>
              <w:jc w:val="center"/>
            </w:pPr>
            <w:r w:rsidRPr="00567979">
              <w:t>23,1</w:t>
            </w:r>
          </w:p>
        </w:tc>
        <w:tc>
          <w:tcPr>
            <w:tcW w:w="1500" w:type="dxa"/>
            <w:noWrap/>
            <w:hideMark/>
          </w:tcPr>
          <w:p w14:paraId="4196B55C" w14:textId="77777777" w:rsidR="007A159F" w:rsidRPr="00567979" w:rsidRDefault="007A159F" w:rsidP="007A159F">
            <w:pPr>
              <w:jc w:val="center"/>
            </w:pPr>
            <w:r w:rsidRPr="00567979">
              <w:t>22,5 - 23,7</w:t>
            </w:r>
          </w:p>
        </w:tc>
      </w:tr>
      <w:tr w:rsidR="007A159F" w:rsidRPr="00567979" w14:paraId="50838FC9" w14:textId="77777777" w:rsidTr="00567979">
        <w:trPr>
          <w:trHeight w:val="310"/>
        </w:trPr>
        <w:tc>
          <w:tcPr>
            <w:tcW w:w="4800" w:type="dxa"/>
            <w:hideMark/>
          </w:tcPr>
          <w:p w14:paraId="3444A306" w14:textId="77777777" w:rsidR="007A159F" w:rsidRPr="00567979" w:rsidRDefault="007A159F" w:rsidP="007A159F">
            <w:pPr>
              <w:jc w:val="both"/>
            </w:pPr>
            <w:r w:rsidRPr="00567979">
              <w:t>Malattie del sistema respiratorio</w:t>
            </w:r>
          </w:p>
        </w:tc>
        <w:tc>
          <w:tcPr>
            <w:tcW w:w="1420" w:type="dxa"/>
            <w:hideMark/>
          </w:tcPr>
          <w:p w14:paraId="482EEE8D" w14:textId="77777777" w:rsidR="007A159F" w:rsidRPr="00567979" w:rsidRDefault="007A159F" w:rsidP="007A159F">
            <w:pPr>
              <w:jc w:val="center"/>
            </w:pPr>
            <w:r w:rsidRPr="00567979">
              <w:t>13.435</w:t>
            </w:r>
          </w:p>
        </w:tc>
        <w:tc>
          <w:tcPr>
            <w:tcW w:w="1420" w:type="dxa"/>
            <w:hideMark/>
          </w:tcPr>
          <w:p w14:paraId="4B827B1A" w14:textId="77777777" w:rsidR="007A159F" w:rsidRPr="00567979" w:rsidRDefault="007A159F" w:rsidP="007A159F">
            <w:pPr>
              <w:jc w:val="center"/>
            </w:pPr>
            <w:r w:rsidRPr="00567979">
              <w:t>76,7</w:t>
            </w:r>
          </w:p>
        </w:tc>
        <w:tc>
          <w:tcPr>
            <w:tcW w:w="1500" w:type="dxa"/>
            <w:noWrap/>
            <w:hideMark/>
          </w:tcPr>
          <w:p w14:paraId="67B97327" w14:textId="77777777" w:rsidR="007A159F" w:rsidRPr="00567979" w:rsidRDefault="007A159F" w:rsidP="007A159F">
            <w:pPr>
              <w:jc w:val="center"/>
            </w:pPr>
            <w:r w:rsidRPr="00567979">
              <w:t>75,2 - 78,2</w:t>
            </w:r>
          </w:p>
        </w:tc>
      </w:tr>
      <w:tr w:rsidR="007A159F" w:rsidRPr="00567979" w14:paraId="2EBBE76A" w14:textId="77777777" w:rsidTr="00567979">
        <w:trPr>
          <w:trHeight w:val="310"/>
        </w:trPr>
        <w:tc>
          <w:tcPr>
            <w:tcW w:w="4800" w:type="dxa"/>
            <w:hideMark/>
          </w:tcPr>
          <w:p w14:paraId="622FEC15" w14:textId="77777777" w:rsidR="007A159F" w:rsidRPr="00567979" w:rsidRDefault="007A159F" w:rsidP="007A159F">
            <w:pPr>
              <w:jc w:val="both"/>
            </w:pPr>
            <w:r w:rsidRPr="00567979">
              <w:t xml:space="preserve">   Malattie respiratorie acute</w:t>
            </w:r>
          </w:p>
        </w:tc>
        <w:tc>
          <w:tcPr>
            <w:tcW w:w="1420" w:type="dxa"/>
            <w:hideMark/>
          </w:tcPr>
          <w:p w14:paraId="6380C834" w14:textId="77777777" w:rsidR="007A159F" w:rsidRPr="00567979" w:rsidRDefault="007A159F" w:rsidP="007A159F">
            <w:pPr>
              <w:jc w:val="center"/>
            </w:pPr>
            <w:r w:rsidRPr="00567979">
              <w:t>4.811</w:t>
            </w:r>
          </w:p>
        </w:tc>
        <w:tc>
          <w:tcPr>
            <w:tcW w:w="1420" w:type="dxa"/>
            <w:hideMark/>
          </w:tcPr>
          <w:p w14:paraId="5E8D6647" w14:textId="77777777" w:rsidR="007A159F" w:rsidRPr="00567979" w:rsidRDefault="007A159F" w:rsidP="007A159F">
            <w:pPr>
              <w:jc w:val="center"/>
            </w:pPr>
            <w:r w:rsidRPr="00567979">
              <w:t>28,0</w:t>
            </w:r>
          </w:p>
        </w:tc>
        <w:tc>
          <w:tcPr>
            <w:tcW w:w="1500" w:type="dxa"/>
            <w:noWrap/>
            <w:hideMark/>
          </w:tcPr>
          <w:p w14:paraId="7199A781" w14:textId="77777777" w:rsidR="007A159F" w:rsidRPr="00567979" w:rsidRDefault="007A159F" w:rsidP="007A159F">
            <w:pPr>
              <w:jc w:val="center"/>
            </w:pPr>
            <w:r w:rsidRPr="00567979">
              <w:t>27,1 - 29,0</w:t>
            </w:r>
          </w:p>
        </w:tc>
      </w:tr>
      <w:tr w:rsidR="007A159F" w:rsidRPr="00567979" w14:paraId="6C67E6E9" w14:textId="77777777" w:rsidTr="00567979">
        <w:trPr>
          <w:trHeight w:val="310"/>
        </w:trPr>
        <w:tc>
          <w:tcPr>
            <w:tcW w:w="4800" w:type="dxa"/>
            <w:hideMark/>
          </w:tcPr>
          <w:p w14:paraId="79A9A88B" w14:textId="77777777" w:rsidR="007A159F" w:rsidRPr="00567979" w:rsidRDefault="007A159F" w:rsidP="007A159F">
            <w:pPr>
              <w:jc w:val="both"/>
            </w:pPr>
            <w:r w:rsidRPr="00567979">
              <w:t xml:space="preserve">   Malattie respiratorie croniche</w:t>
            </w:r>
          </w:p>
        </w:tc>
        <w:tc>
          <w:tcPr>
            <w:tcW w:w="1420" w:type="dxa"/>
            <w:hideMark/>
          </w:tcPr>
          <w:p w14:paraId="7CB3D0EE" w14:textId="77777777" w:rsidR="007A159F" w:rsidRPr="00567979" w:rsidRDefault="007A159F" w:rsidP="007A159F">
            <w:pPr>
              <w:jc w:val="center"/>
            </w:pPr>
            <w:r w:rsidRPr="00567979">
              <w:t>1.773</w:t>
            </w:r>
          </w:p>
        </w:tc>
        <w:tc>
          <w:tcPr>
            <w:tcW w:w="1420" w:type="dxa"/>
            <w:hideMark/>
          </w:tcPr>
          <w:p w14:paraId="19634528" w14:textId="77777777" w:rsidR="007A159F" w:rsidRPr="00567979" w:rsidRDefault="007A159F" w:rsidP="007A159F">
            <w:pPr>
              <w:jc w:val="center"/>
            </w:pPr>
            <w:r w:rsidRPr="00567979">
              <w:t>5,8</w:t>
            </w:r>
          </w:p>
        </w:tc>
        <w:tc>
          <w:tcPr>
            <w:tcW w:w="1500" w:type="dxa"/>
            <w:noWrap/>
            <w:hideMark/>
          </w:tcPr>
          <w:p w14:paraId="1060CB67" w14:textId="77777777" w:rsidR="007A159F" w:rsidRPr="00567979" w:rsidRDefault="007A159F" w:rsidP="007A159F">
            <w:pPr>
              <w:jc w:val="center"/>
            </w:pPr>
            <w:r w:rsidRPr="00567979">
              <w:t>5,5 - 6,1</w:t>
            </w:r>
          </w:p>
        </w:tc>
      </w:tr>
      <w:tr w:rsidR="007A159F" w:rsidRPr="00567979" w14:paraId="282214F2" w14:textId="77777777" w:rsidTr="00567979">
        <w:trPr>
          <w:trHeight w:val="310"/>
        </w:trPr>
        <w:tc>
          <w:tcPr>
            <w:tcW w:w="4800" w:type="dxa"/>
            <w:hideMark/>
          </w:tcPr>
          <w:p w14:paraId="69127732" w14:textId="77777777" w:rsidR="007A159F" w:rsidRPr="00567979" w:rsidRDefault="007A159F" w:rsidP="007A159F">
            <w:pPr>
              <w:jc w:val="both"/>
            </w:pPr>
            <w:r w:rsidRPr="00567979">
              <w:t>Malattie dell'apparato digerente</w:t>
            </w:r>
          </w:p>
        </w:tc>
        <w:tc>
          <w:tcPr>
            <w:tcW w:w="1420" w:type="dxa"/>
            <w:hideMark/>
          </w:tcPr>
          <w:p w14:paraId="0473B16E" w14:textId="77777777" w:rsidR="007A159F" w:rsidRPr="00567979" w:rsidRDefault="007A159F" w:rsidP="007A159F">
            <w:pPr>
              <w:jc w:val="center"/>
            </w:pPr>
            <w:r w:rsidRPr="00567979">
              <w:t>18.151</w:t>
            </w:r>
          </w:p>
        </w:tc>
        <w:tc>
          <w:tcPr>
            <w:tcW w:w="1420" w:type="dxa"/>
            <w:hideMark/>
          </w:tcPr>
          <w:p w14:paraId="656A6A87" w14:textId="77777777" w:rsidR="007A159F" w:rsidRPr="00567979" w:rsidRDefault="007A159F" w:rsidP="007A159F">
            <w:pPr>
              <w:jc w:val="center"/>
            </w:pPr>
            <w:r w:rsidRPr="00567979">
              <w:t>90,4</w:t>
            </w:r>
          </w:p>
        </w:tc>
        <w:tc>
          <w:tcPr>
            <w:tcW w:w="1500" w:type="dxa"/>
            <w:noWrap/>
            <w:hideMark/>
          </w:tcPr>
          <w:p w14:paraId="3E85A545" w14:textId="77777777" w:rsidR="007A159F" w:rsidRPr="00567979" w:rsidRDefault="007A159F" w:rsidP="007A159F">
            <w:pPr>
              <w:jc w:val="center"/>
            </w:pPr>
            <w:r w:rsidRPr="00567979">
              <w:t>89,0 - 91,9</w:t>
            </w:r>
          </w:p>
        </w:tc>
      </w:tr>
      <w:tr w:rsidR="007A159F" w:rsidRPr="00567979" w14:paraId="1C7081F9" w14:textId="77777777" w:rsidTr="00567979">
        <w:trPr>
          <w:trHeight w:val="310"/>
        </w:trPr>
        <w:tc>
          <w:tcPr>
            <w:tcW w:w="4800" w:type="dxa"/>
            <w:hideMark/>
          </w:tcPr>
          <w:p w14:paraId="3E8A4954" w14:textId="77777777" w:rsidR="007A159F" w:rsidRPr="00567979" w:rsidRDefault="007A159F" w:rsidP="007A159F">
            <w:pPr>
              <w:jc w:val="both"/>
            </w:pPr>
            <w:r w:rsidRPr="00567979">
              <w:t>Malattie dell'apparato urinario</w:t>
            </w:r>
          </w:p>
        </w:tc>
        <w:tc>
          <w:tcPr>
            <w:tcW w:w="1420" w:type="dxa"/>
            <w:hideMark/>
          </w:tcPr>
          <w:p w14:paraId="5A2BE4F2" w14:textId="77777777" w:rsidR="007A159F" w:rsidRPr="00567979" w:rsidRDefault="007A159F" w:rsidP="007A159F">
            <w:pPr>
              <w:jc w:val="center"/>
            </w:pPr>
            <w:r w:rsidRPr="00567979">
              <w:t>5.050</w:t>
            </w:r>
          </w:p>
        </w:tc>
        <w:tc>
          <w:tcPr>
            <w:tcW w:w="1420" w:type="dxa"/>
            <w:hideMark/>
          </w:tcPr>
          <w:p w14:paraId="60FAF20D" w14:textId="77777777" w:rsidR="007A159F" w:rsidRPr="00567979" w:rsidRDefault="007A159F" w:rsidP="007A159F">
            <w:pPr>
              <w:jc w:val="center"/>
            </w:pPr>
            <w:r w:rsidRPr="00567979">
              <w:t>22,4</w:t>
            </w:r>
          </w:p>
        </w:tc>
        <w:tc>
          <w:tcPr>
            <w:tcW w:w="1500" w:type="dxa"/>
            <w:noWrap/>
            <w:hideMark/>
          </w:tcPr>
          <w:p w14:paraId="1624CA45" w14:textId="77777777" w:rsidR="007A159F" w:rsidRPr="00567979" w:rsidRDefault="007A159F" w:rsidP="007A159F">
            <w:pPr>
              <w:jc w:val="center"/>
            </w:pPr>
            <w:r w:rsidRPr="00567979">
              <w:t>21,7 - 23,1</w:t>
            </w:r>
          </w:p>
        </w:tc>
      </w:tr>
    </w:tbl>
    <w:p w14:paraId="2336FD2F" w14:textId="77777777" w:rsidR="00026930" w:rsidRDefault="00026930" w:rsidP="00334DC3">
      <w:pPr>
        <w:jc w:val="both"/>
      </w:pPr>
    </w:p>
    <w:p w14:paraId="0F9BB1BE" w14:textId="77777777" w:rsidR="00567979" w:rsidRPr="00567979" w:rsidRDefault="007A159F" w:rsidP="00567979">
      <w:pPr>
        <w:spacing w:after="0" w:line="240" w:lineRule="auto"/>
        <w:jc w:val="both"/>
        <w:rPr>
          <w:b/>
        </w:rPr>
      </w:pPr>
      <w:r>
        <w:rPr>
          <w:b/>
        </w:rPr>
        <w:t>Tabella</w:t>
      </w:r>
      <w:r w:rsidR="00567979">
        <w:rPr>
          <w:b/>
        </w:rPr>
        <w:t xml:space="preserve"> 2</w:t>
      </w:r>
      <w:r>
        <w:rPr>
          <w:b/>
        </w:rPr>
        <w:t>.</w:t>
      </w:r>
      <w:r w:rsidR="00567979" w:rsidRPr="00567979">
        <w:rPr>
          <w:b/>
        </w:rPr>
        <w:t xml:space="preserve"> Ricoverati 2006-2016; numero casi, tassi standardizzati per età X 10.000 abitanti con IC95%</w:t>
      </w:r>
    </w:p>
    <w:p w14:paraId="62FE8C4E" w14:textId="77777777" w:rsidR="00567979" w:rsidRDefault="00567979" w:rsidP="00567979">
      <w:pPr>
        <w:spacing w:after="0" w:line="240" w:lineRule="auto"/>
        <w:jc w:val="both"/>
        <w:rPr>
          <w:b/>
        </w:rPr>
      </w:pPr>
      <w:r w:rsidRPr="00567979">
        <w:rPr>
          <w:b/>
        </w:rPr>
        <w:t xml:space="preserve">Molise, </w:t>
      </w:r>
      <w:r>
        <w:rPr>
          <w:b/>
        </w:rPr>
        <w:t>Donne</w:t>
      </w:r>
      <w:r w:rsidRPr="00567979">
        <w:rPr>
          <w:b/>
        </w:rPr>
        <w:t>.</w:t>
      </w:r>
    </w:p>
    <w:tbl>
      <w:tblPr>
        <w:tblStyle w:val="Grigliatabella"/>
        <w:tblW w:w="0" w:type="auto"/>
        <w:tblLook w:val="04A0" w:firstRow="1" w:lastRow="0" w:firstColumn="1" w:lastColumn="0" w:noHBand="0" w:noVBand="1"/>
      </w:tblPr>
      <w:tblGrid>
        <w:gridCol w:w="4800"/>
        <w:gridCol w:w="1420"/>
        <w:gridCol w:w="1420"/>
        <w:gridCol w:w="1500"/>
      </w:tblGrid>
      <w:tr w:rsidR="007A159F" w:rsidRPr="00567979" w14:paraId="75700A2B" w14:textId="77777777" w:rsidTr="005A5B4B">
        <w:trPr>
          <w:trHeight w:val="480"/>
        </w:trPr>
        <w:tc>
          <w:tcPr>
            <w:tcW w:w="4800" w:type="dxa"/>
            <w:vAlign w:val="center"/>
            <w:hideMark/>
          </w:tcPr>
          <w:p w14:paraId="5A5974B6"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34DF44EE" w14:textId="77777777" w:rsidR="007A159F" w:rsidRPr="007A159F" w:rsidRDefault="007A159F" w:rsidP="007A159F">
            <w:pPr>
              <w:jc w:val="center"/>
              <w:rPr>
                <w:b/>
                <w:bCs/>
              </w:rPr>
            </w:pPr>
            <w:r w:rsidRPr="007A159F">
              <w:rPr>
                <w:b/>
                <w:bCs/>
              </w:rPr>
              <w:t>N</w:t>
            </w:r>
          </w:p>
        </w:tc>
        <w:tc>
          <w:tcPr>
            <w:tcW w:w="1420" w:type="dxa"/>
            <w:vAlign w:val="center"/>
            <w:hideMark/>
          </w:tcPr>
          <w:p w14:paraId="74643DFE"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44AB29D1" w14:textId="77777777" w:rsidR="007A159F" w:rsidRPr="007A159F" w:rsidRDefault="007A159F" w:rsidP="007A159F">
            <w:pPr>
              <w:jc w:val="center"/>
              <w:rPr>
                <w:b/>
                <w:bCs/>
              </w:rPr>
            </w:pPr>
            <w:r w:rsidRPr="007A159F">
              <w:rPr>
                <w:b/>
                <w:bCs/>
              </w:rPr>
              <w:t>IC95%</w:t>
            </w:r>
          </w:p>
        </w:tc>
      </w:tr>
      <w:tr w:rsidR="007A159F" w:rsidRPr="00567979" w14:paraId="2F150B19" w14:textId="77777777" w:rsidTr="00567979">
        <w:trPr>
          <w:trHeight w:val="310"/>
        </w:trPr>
        <w:tc>
          <w:tcPr>
            <w:tcW w:w="4800" w:type="dxa"/>
            <w:hideMark/>
          </w:tcPr>
          <w:p w14:paraId="66430C41" w14:textId="77777777" w:rsidR="007A159F" w:rsidRPr="00567979" w:rsidRDefault="007A159F" w:rsidP="007A159F">
            <w:pPr>
              <w:jc w:val="both"/>
            </w:pPr>
            <w:r w:rsidRPr="00567979">
              <w:t>Tutti i tumori maligni</w:t>
            </w:r>
          </w:p>
        </w:tc>
        <w:tc>
          <w:tcPr>
            <w:tcW w:w="1420" w:type="dxa"/>
            <w:hideMark/>
          </w:tcPr>
          <w:p w14:paraId="353A0489" w14:textId="77777777" w:rsidR="007A159F" w:rsidRPr="00567979" w:rsidRDefault="007A159F" w:rsidP="007A159F">
            <w:pPr>
              <w:jc w:val="center"/>
            </w:pPr>
            <w:r w:rsidRPr="00567979">
              <w:t>8.441</w:t>
            </w:r>
          </w:p>
        </w:tc>
        <w:tc>
          <w:tcPr>
            <w:tcW w:w="1420" w:type="dxa"/>
            <w:hideMark/>
          </w:tcPr>
          <w:p w14:paraId="0DCCDD54" w14:textId="77777777" w:rsidR="007A159F" w:rsidRPr="00567979" w:rsidRDefault="007A159F" w:rsidP="007A159F">
            <w:pPr>
              <w:jc w:val="center"/>
            </w:pPr>
            <w:r w:rsidRPr="00567979">
              <w:t>30,9</w:t>
            </w:r>
          </w:p>
        </w:tc>
        <w:tc>
          <w:tcPr>
            <w:tcW w:w="1500" w:type="dxa"/>
            <w:noWrap/>
            <w:hideMark/>
          </w:tcPr>
          <w:p w14:paraId="0753A607" w14:textId="77777777" w:rsidR="007A159F" w:rsidRPr="00567979" w:rsidRDefault="007A159F" w:rsidP="007A159F">
            <w:pPr>
              <w:jc w:val="center"/>
            </w:pPr>
            <w:r w:rsidRPr="00567979">
              <w:t>30,1 - 31,6</w:t>
            </w:r>
          </w:p>
        </w:tc>
      </w:tr>
      <w:tr w:rsidR="007A159F" w:rsidRPr="00567979" w14:paraId="2EF76A49" w14:textId="77777777" w:rsidTr="00567979">
        <w:trPr>
          <w:trHeight w:val="310"/>
        </w:trPr>
        <w:tc>
          <w:tcPr>
            <w:tcW w:w="4800" w:type="dxa"/>
            <w:hideMark/>
          </w:tcPr>
          <w:p w14:paraId="55578C88" w14:textId="77777777" w:rsidR="007A159F" w:rsidRPr="00567979" w:rsidRDefault="007A159F" w:rsidP="007A159F">
            <w:pPr>
              <w:jc w:val="both"/>
            </w:pPr>
            <w:r w:rsidRPr="00567979">
              <w:t xml:space="preserve">   Tumore del polmone</w:t>
            </w:r>
          </w:p>
        </w:tc>
        <w:tc>
          <w:tcPr>
            <w:tcW w:w="1420" w:type="dxa"/>
            <w:hideMark/>
          </w:tcPr>
          <w:p w14:paraId="1AB71E11" w14:textId="77777777" w:rsidR="007A159F" w:rsidRPr="00567979" w:rsidRDefault="007A159F" w:rsidP="007A159F">
            <w:pPr>
              <w:jc w:val="center"/>
            </w:pPr>
            <w:r w:rsidRPr="00567979">
              <w:t>312</w:t>
            </w:r>
          </w:p>
        </w:tc>
        <w:tc>
          <w:tcPr>
            <w:tcW w:w="1420" w:type="dxa"/>
            <w:hideMark/>
          </w:tcPr>
          <w:p w14:paraId="7E0931C9" w14:textId="77777777" w:rsidR="007A159F" w:rsidRPr="00567979" w:rsidRDefault="007A159F" w:rsidP="007A159F">
            <w:pPr>
              <w:jc w:val="center"/>
            </w:pPr>
            <w:r w:rsidRPr="00567979">
              <w:t>1,1</w:t>
            </w:r>
          </w:p>
        </w:tc>
        <w:tc>
          <w:tcPr>
            <w:tcW w:w="1500" w:type="dxa"/>
            <w:noWrap/>
            <w:hideMark/>
          </w:tcPr>
          <w:p w14:paraId="41C7F464" w14:textId="77777777" w:rsidR="007A159F" w:rsidRPr="00567979" w:rsidRDefault="007A159F" w:rsidP="007A159F">
            <w:pPr>
              <w:jc w:val="center"/>
            </w:pPr>
            <w:r w:rsidRPr="00567979">
              <w:t>1,0 - 1,3</w:t>
            </w:r>
          </w:p>
        </w:tc>
      </w:tr>
      <w:tr w:rsidR="007A159F" w:rsidRPr="00567979" w14:paraId="15BA3AA7" w14:textId="77777777" w:rsidTr="00567979">
        <w:trPr>
          <w:trHeight w:val="310"/>
        </w:trPr>
        <w:tc>
          <w:tcPr>
            <w:tcW w:w="4800" w:type="dxa"/>
            <w:hideMark/>
          </w:tcPr>
          <w:p w14:paraId="64B530B5" w14:textId="77777777" w:rsidR="007A159F" w:rsidRPr="00567979" w:rsidRDefault="007A159F" w:rsidP="007A159F">
            <w:pPr>
              <w:jc w:val="both"/>
            </w:pPr>
            <w:r w:rsidRPr="00567979">
              <w:t>Malattie del sistema circolatorio</w:t>
            </w:r>
          </w:p>
        </w:tc>
        <w:tc>
          <w:tcPr>
            <w:tcW w:w="1420" w:type="dxa"/>
            <w:hideMark/>
          </w:tcPr>
          <w:p w14:paraId="161A86D1" w14:textId="77777777" w:rsidR="007A159F" w:rsidRPr="00567979" w:rsidRDefault="007A159F" w:rsidP="007A159F">
            <w:pPr>
              <w:jc w:val="center"/>
            </w:pPr>
            <w:r w:rsidRPr="00567979">
              <w:t>19.989</w:t>
            </w:r>
          </w:p>
        </w:tc>
        <w:tc>
          <w:tcPr>
            <w:tcW w:w="1420" w:type="dxa"/>
            <w:hideMark/>
          </w:tcPr>
          <w:p w14:paraId="12B2CB75" w14:textId="77777777" w:rsidR="007A159F" w:rsidRPr="00567979" w:rsidRDefault="007A159F" w:rsidP="007A159F">
            <w:pPr>
              <w:jc w:val="center"/>
            </w:pPr>
            <w:r w:rsidRPr="00567979">
              <w:t>58,0</w:t>
            </w:r>
          </w:p>
        </w:tc>
        <w:tc>
          <w:tcPr>
            <w:tcW w:w="1500" w:type="dxa"/>
            <w:noWrap/>
            <w:hideMark/>
          </w:tcPr>
          <w:p w14:paraId="7033FE93" w14:textId="77777777" w:rsidR="007A159F" w:rsidRPr="00567979" w:rsidRDefault="007A159F" w:rsidP="007A159F">
            <w:pPr>
              <w:jc w:val="center"/>
            </w:pPr>
            <w:r w:rsidRPr="00567979">
              <w:t>57,1 - 59,0</w:t>
            </w:r>
          </w:p>
        </w:tc>
      </w:tr>
      <w:tr w:rsidR="007A159F" w:rsidRPr="00567979" w14:paraId="665F30E8" w14:textId="77777777" w:rsidTr="00567979">
        <w:trPr>
          <w:trHeight w:val="310"/>
        </w:trPr>
        <w:tc>
          <w:tcPr>
            <w:tcW w:w="4800" w:type="dxa"/>
            <w:hideMark/>
          </w:tcPr>
          <w:p w14:paraId="2468C5DA" w14:textId="77777777" w:rsidR="007A159F" w:rsidRPr="00567979" w:rsidRDefault="007A159F" w:rsidP="007A159F">
            <w:pPr>
              <w:jc w:val="both"/>
            </w:pPr>
            <w:r w:rsidRPr="00567979">
              <w:t xml:space="preserve">   Malattie cardiache</w:t>
            </w:r>
          </w:p>
        </w:tc>
        <w:tc>
          <w:tcPr>
            <w:tcW w:w="1420" w:type="dxa"/>
            <w:hideMark/>
          </w:tcPr>
          <w:p w14:paraId="627B03FA" w14:textId="77777777" w:rsidR="007A159F" w:rsidRPr="00567979" w:rsidRDefault="007A159F" w:rsidP="007A159F">
            <w:pPr>
              <w:jc w:val="center"/>
            </w:pPr>
            <w:r w:rsidRPr="00567979">
              <w:t>13.186</w:t>
            </w:r>
          </w:p>
        </w:tc>
        <w:tc>
          <w:tcPr>
            <w:tcW w:w="1420" w:type="dxa"/>
            <w:hideMark/>
          </w:tcPr>
          <w:p w14:paraId="2454681C" w14:textId="77777777" w:rsidR="007A159F" w:rsidRPr="00567979" w:rsidRDefault="007A159F" w:rsidP="007A159F">
            <w:pPr>
              <w:jc w:val="center"/>
            </w:pPr>
            <w:r w:rsidRPr="00567979">
              <w:t>36,3</w:t>
            </w:r>
          </w:p>
        </w:tc>
        <w:tc>
          <w:tcPr>
            <w:tcW w:w="1500" w:type="dxa"/>
            <w:noWrap/>
            <w:hideMark/>
          </w:tcPr>
          <w:p w14:paraId="552ACF4A" w14:textId="77777777" w:rsidR="007A159F" w:rsidRPr="00567979" w:rsidRDefault="007A159F" w:rsidP="007A159F">
            <w:pPr>
              <w:jc w:val="center"/>
            </w:pPr>
            <w:r w:rsidRPr="00567979">
              <w:t>35,6 - 37,1</w:t>
            </w:r>
          </w:p>
        </w:tc>
      </w:tr>
      <w:tr w:rsidR="007A159F" w:rsidRPr="00567979" w14:paraId="76FE4CB2" w14:textId="77777777" w:rsidTr="00567979">
        <w:trPr>
          <w:trHeight w:val="310"/>
        </w:trPr>
        <w:tc>
          <w:tcPr>
            <w:tcW w:w="4800" w:type="dxa"/>
            <w:hideMark/>
          </w:tcPr>
          <w:p w14:paraId="6CE42B1D" w14:textId="77777777" w:rsidR="007A159F" w:rsidRPr="00567979" w:rsidRDefault="007A159F" w:rsidP="007A159F">
            <w:pPr>
              <w:jc w:val="both"/>
            </w:pPr>
            <w:r w:rsidRPr="00567979">
              <w:t xml:space="preserve">   Malattie cerebrovascolari</w:t>
            </w:r>
          </w:p>
        </w:tc>
        <w:tc>
          <w:tcPr>
            <w:tcW w:w="1420" w:type="dxa"/>
            <w:hideMark/>
          </w:tcPr>
          <w:p w14:paraId="0856FAE3" w14:textId="77777777" w:rsidR="007A159F" w:rsidRPr="00567979" w:rsidRDefault="007A159F" w:rsidP="007A159F">
            <w:pPr>
              <w:jc w:val="center"/>
            </w:pPr>
            <w:r w:rsidRPr="00567979">
              <w:t>6.647</w:t>
            </w:r>
          </w:p>
        </w:tc>
        <w:tc>
          <w:tcPr>
            <w:tcW w:w="1420" w:type="dxa"/>
            <w:hideMark/>
          </w:tcPr>
          <w:p w14:paraId="0BE399FB" w14:textId="77777777" w:rsidR="007A159F" w:rsidRPr="00567979" w:rsidRDefault="007A159F" w:rsidP="007A159F">
            <w:pPr>
              <w:jc w:val="center"/>
            </w:pPr>
            <w:r w:rsidRPr="00567979">
              <w:t>15,6</w:t>
            </w:r>
          </w:p>
        </w:tc>
        <w:tc>
          <w:tcPr>
            <w:tcW w:w="1500" w:type="dxa"/>
            <w:noWrap/>
            <w:hideMark/>
          </w:tcPr>
          <w:p w14:paraId="3596D88C" w14:textId="77777777" w:rsidR="007A159F" w:rsidRPr="00567979" w:rsidRDefault="007A159F" w:rsidP="007A159F">
            <w:pPr>
              <w:jc w:val="center"/>
            </w:pPr>
            <w:r w:rsidRPr="00567979">
              <w:t>15,1 - 16,0</w:t>
            </w:r>
          </w:p>
        </w:tc>
      </w:tr>
      <w:tr w:rsidR="007A159F" w:rsidRPr="00567979" w14:paraId="625F0B33" w14:textId="77777777" w:rsidTr="00567979">
        <w:trPr>
          <w:trHeight w:val="310"/>
        </w:trPr>
        <w:tc>
          <w:tcPr>
            <w:tcW w:w="4800" w:type="dxa"/>
            <w:hideMark/>
          </w:tcPr>
          <w:p w14:paraId="14D140B4" w14:textId="77777777" w:rsidR="007A159F" w:rsidRPr="00567979" w:rsidRDefault="007A159F" w:rsidP="007A159F">
            <w:pPr>
              <w:jc w:val="both"/>
            </w:pPr>
            <w:r w:rsidRPr="00567979">
              <w:t>Malattie del sistema respiratorio</w:t>
            </w:r>
          </w:p>
        </w:tc>
        <w:tc>
          <w:tcPr>
            <w:tcW w:w="1420" w:type="dxa"/>
            <w:hideMark/>
          </w:tcPr>
          <w:p w14:paraId="3AABEC91" w14:textId="77777777" w:rsidR="007A159F" w:rsidRPr="00567979" w:rsidRDefault="007A159F" w:rsidP="007A159F">
            <w:pPr>
              <w:jc w:val="center"/>
            </w:pPr>
            <w:r w:rsidRPr="00567979">
              <w:t>10.077</w:t>
            </w:r>
          </w:p>
        </w:tc>
        <w:tc>
          <w:tcPr>
            <w:tcW w:w="1420" w:type="dxa"/>
            <w:hideMark/>
          </w:tcPr>
          <w:p w14:paraId="709F52D6" w14:textId="77777777" w:rsidR="007A159F" w:rsidRPr="00567979" w:rsidRDefault="007A159F" w:rsidP="007A159F">
            <w:pPr>
              <w:jc w:val="center"/>
            </w:pPr>
            <w:r w:rsidRPr="00567979">
              <w:t>54,3</w:t>
            </w:r>
          </w:p>
        </w:tc>
        <w:tc>
          <w:tcPr>
            <w:tcW w:w="1500" w:type="dxa"/>
            <w:noWrap/>
            <w:hideMark/>
          </w:tcPr>
          <w:p w14:paraId="2B39C59E" w14:textId="77777777" w:rsidR="007A159F" w:rsidRPr="00567979" w:rsidRDefault="007A159F" w:rsidP="007A159F">
            <w:pPr>
              <w:jc w:val="center"/>
            </w:pPr>
            <w:r w:rsidRPr="00567979">
              <w:t>53,0 - 55,6</w:t>
            </w:r>
          </w:p>
        </w:tc>
      </w:tr>
      <w:tr w:rsidR="007A159F" w:rsidRPr="00567979" w14:paraId="746D21A5" w14:textId="77777777" w:rsidTr="00567979">
        <w:trPr>
          <w:trHeight w:val="310"/>
        </w:trPr>
        <w:tc>
          <w:tcPr>
            <w:tcW w:w="4800" w:type="dxa"/>
            <w:hideMark/>
          </w:tcPr>
          <w:p w14:paraId="733D8455" w14:textId="77777777" w:rsidR="007A159F" w:rsidRPr="00567979" w:rsidRDefault="007A159F" w:rsidP="007A159F">
            <w:pPr>
              <w:jc w:val="both"/>
            </w:pPr>
            <w:r w:rsidRPr="00567979">
              <w:t xml:space="preserve">   Malattie respiratorie acute</w:t>
            </w:r>
          </w:p>
        </w:tc>
        <w:tc>
          <w:tcPr>
            <w:tcW w:w="1420" w:type="dxa"/>
            <w:hideMark/>
          </w:tcPr>
          <w:p w14:paraId="1A0AA4CC" w14:textId="77777777" w:rsidR="007A159F" w:rsidRPr="00567979" w:rsidRDefault="007A159F" w:rsidP="007A159F">
            <w:pPr>
              <w:jc w:val="center"/>
            </w:pPr>
            <w:r w:rsidRPr="00567979">
              <w:t>3.537</w:t>
            </w:r>
          </w:p>
        </w:tc>
        <w:tc>
          <w:tcPr>
            <w:tcW w:w="1420" w:type="dxa"/>
            <w:hideMark/>
          </w:tcPr>
          <w:p w14:paraId="2560D996" w14:textId="77777777" w:rsidR="007A159F" w:rsidRPr="00567979" w:rsidRDefault="007A159F" w:rsidP="007A159F">
            <w:pPr>
              <w:jc w:val="center"/>
            </w:pPr>
            <w:r w:rsidRPr="00567979">
              <w:t>20,5</w:t>
            </w:r>
          </w:p>
        </w:tc>
        <w:tc>
          <w:tcPr>
            <w:tcW w:w="1500" w:type="dxa"/>
            <w:noWrap/>
            <w:hideMark/>
          </w:tcPr>
          <w:p w14:paraId="0F88212B" w14:textId="77777777" w:rsidR="007A159F" w:rsidRPr="00567979" w:rsidRDefault="007A159F" w:rsidP="007A159F">
            <w:pPr>
              <w:jc w:val="center"/>
            </w:pPr>
            <w:r w:rsidRPr="00567979">
              <w:t>19,6 - 21,3</w:t>
            </w:r>
          </w:p>
        </w:tc>
      </w:tr>
      <w:tr w:rsidR="007A159F" w:rsidRPr="00567979" w14:paraId="1F0750B6" w14:textId="77777777" w:rsidTr="00567979">
        <w:trPr>
          <w:trHeight w:val="310"/>
        </w:trPr>
        <w:tc>
          <w:tcPr>
            <w:tcW w:w="4800" w:type="dxa"/>
            <w:hideMark/>
          </w:tcPr>
          <w:p w14:paraId="19B0AB88" w14:textId="77777777" w:rsidR="007A159F" w:rsidRPr="00567979" w:rsidRDefault="007A159F" w:rsidP="007A159F">
            <w:pPr>
              <w:jc w:val="both"/>
            </w:pPr>
            <w:r w:rsidRPr="00567979">
              <w:t xml:space="preserve">   Malattie respiratorie croniche</w:t>
            </w:r>
          </w:p>
        </w:tc>
        <w:tc>
          <w:tcPr>
            <w:tcW w:w="1420" w:type="dxa"/>
            <w:hideMark/>
          </w:tcPr>
          <w:p w14:paraId="29B14C29" w14:textId="77777777" w:rsidR="007A159F" w:rsidRPr="00567979" w:rsidRDefault="007A159F" w:rsidP="007A159F">
            <w:pPr>
              <w:jc w:val="center"/>
            </w:pPr>
            <w:r w:rsidRPr="00567979">
              <w:t>1.126</w:t>
            </w:r>
          </w:p>
        </w:tc>
        <w:tc>
          <w:tcPr>
            <w:tcW w:w="1420" w:type="dxa"/>
            <w:hideMark/>
          </w:tcPr>
          <w:p w14:paraId="11C38CE0" w14:textId="77777777" w:rsidR="007A159F" w:rsidRPr="00567979" w:rsidRDefault="007A159F" w:rsidP="007A159F">
            <w:pPr>
              <w:jc w:val="center"/>
            </w:pPr>
            <w:r w:rsidRPr="00567979">
              <w:t>2,6</w:t>
            </w:r>
          </w:p>
        </w:tc>
        <w:tc>
          <w:tcPr>
            <w:tcW w:w="1500" w:type="dxa"/>
            <w:noWrap/>
            <w:hideMark/>
          </w:tcPr>
          <w:p w14:paraId="160027E6" w14:textId="77777777" w:rsidR="007A159F" w:rsidRPr="00567979" w:rsidRDefault="007A159F" w:rsidP="007A159F">
            <w:pPr>
              <w:jc w:val="center"/>
            </w:pPr>
            <w:r w:rsidRPr="00567979">
              <w:t>2,5 - 2,8</w:t>
            </w:r>
          </w:p>
        </w:tc>
      </w:tr>
      <w:tr w:rsidR="007A159F" w:rsidRPr="00567979" w14:paraId="43F4BFD6" w14:textId="77777777" w:rsidTr="00567979">
        <w:trPr>
          <w:trHeight w:val="310"/>
        </w:trPr>
        <w:tc>
          <w:tcPr>
            <w:tcW w:w="4800" w:type="dxa"/>
            <w:hideMark/>
          </w:tcPr>
          <w:p w14:paraId="76B02BC2" w14:textId="77777777" w:rsidR="007A159F" w:rsidRPr="00567979" w:rsidRDefault="007A159F" w:rsidP="007A159F">
            <w:pPr>
              <w:jc w:val="both"/>
            </w:pPr>
            <w:r w:rsidRPr="00567979">
              <w:t>Malattie dell'apparato digerente</w:t>
            </w:r>
          </w:p>
        </w:tc>
        <w:tc>
          <w:tcPr>
            <w:tcW w:w="1420" w:type="dxa"/>
            <w:hideMark/>
          </w:tcPr>
          <w:p w14:paraId="5F8BA2EB" w14:textId="77777777" w:rsidR="007A159F" w:rsidRPr="00567979" w:rsidRDefault="007A159F" w:rsidP="007A159F">
            <w:pPr>
              <w:jc w:val="center"/>
            </w:pPr>
            <w:r w:rsidRPr="00567979">
              <w:t>15.907</w:t>
            </w:r>
          </w:p>
        </w:tc>
        <w:tc>
          <w:tcPr>
            <w:tcW w:w="1420" w:type="dxa"/>
            <w:hideMark/>
          </w:tcPr>
          <w:p w14:paraId="0AF5EB83" w14:textId="77777777" w:rsidR="007A159F" w:rsidRPr="00567979" w:rsidRDefault="007A159F" w:rsidP="007A159F">
            <w:pPr>
              <w:jc w:val="center"/>
            </w:pPr>
            <w:r w:rsidRPr="00567979">
              <w:t>73,2</w:t>
            </w:r>
          </w:p>
        </w:tc>
        <w:tc>
          <w:tcPr>
            <w:tcW w:w="1500" w:type="dxa"/>
            <w:noWrap/>
            <w:hideMark/>
          </w:tcPr>
          <w:p w14:paraId="1758C7C6" w14:textId="77777777" w:rsidR="007A159F" w:rsidRPr="00567979" w:rsidRDefault="007A159F" w:rsidP="007A159F">
            <w:pPr>
              <w:jc w:val="center"/>
            </w:pPr>
            <w:r w:rsidRPr="00567979">
              <w:t>71,9 - 74,5</w:t>
            </w:r>
          </w:p>
        </w:tc>
      </w:tr>
      <w:tr w:rsidR="007A159F" w:rsidRPr="00567979" w14:paraId="10F0D688" w14:textId="77777777" w:rsidTr="00567979">
        <w:trPr>
          <w:trHeight w:val="310"/>
        </w:trPr>
        <w:tc>
          <w:tcPr>
            <w:tcW w:w="4800" w:type="dxa"/>
            <w:hideMark/>
          </w:tcPr>
          <w:p w14:paraId="1F704478" w14:textId="77777777" w:rsidR="007A159F" w:rsidRPr="00567979" w:rsidRDefault="007A159F" w:rsidP="007A159F">
            <w:pPr>
              <w:jc w:val="both"/>
            </w:pPr>
            <w:r w:rsidRPr="00567979">
              <w:t>Malattie dell'apparato urinario</w:t>
            </w:r>
          </w:p>
        </w:tc>
        <w:tc>
          <w:tcPr>
            <w:tcW w:w="1420" w:type="dxa"/>
            <w:hideMark/>
          </w:tcPr>
          <w:p w14:paraId="30FF6D43" w14:textId="77777777" w:rsidR="007A159F" w:rsidRPr="00567979" w:rsidRDefault="007A159F" w:rsidP="007A159F">
            <w:pPr>
              <w:jc w:val="center"/>
            </w:pPr>
            <w:r w:rsidRPr="00567979">
              <w:t>3.934</w:t>
            </w:r>
          </w:p>
        </w:tc>
        <w:tc>
          <w:tcPr>
            <w:tcW w:w="1420" w:type="dxa"/>
            <w:hideMark/>
          </w:tcPr>
          <w:p w14:paraId="520F699F" w14:textId="77777777" w:rsidR="007A159F" w:rsidRPr="00567979" w:rsidRDefault="007A159F" w:rsidP="007A159F">
            <w:pPr>
              <w:jc w:val="center"/>
            </w:pPr>
            <w:r w:rsidRPr="00567979">
              <w:t>14,9</w:t>
            </w:r>
          </w:p>
        </w:tc>
        <w:tc>
          <w:tcPr>
            <w:tcW w:w="1500" w:type="dxa"/>
            <w:noWrap/>
            <w:hideMark/>
          </w:tcPr>
          <w:p w14:paraId="3453E123" w14:textId="77777777" w:rsidR="007A159F" w:rsidRPr="00567979" w:rsidRDefault="007A159F" w:rsidP="007A159F">
            <w:pPr>
              <w:jc w:val="center"/>
            </w:pPr>
            <w:r w:rsidRPr="00567979">
              <w:t>14,4 - 15,5</w:t>
            </w:r>
          </w:p>
        </w:tc>
      </w:tr>
    </w:tbl>
    <w:p w14:paraId="0262D895" w14:textId="77777777" w:rsidR="00567979" w:rsidRDefault="00567979" w:rsidP="00334DC3">
      <w:pPr>
        <w:jc w:val="both"/>
      </w:pPr>
    </w:p>
    <w:p w14:paraId="251B6FF2" w14:textId="77777777" w:rsidR="00567979" w:rsidRPr="00567979" w:rsidRDefault="00567979" w:rsidP="00567979">
      <w:pPr>
        <w:spacing w:after="0" w:line="240" w:lineRule="auto"/>
        <w:jc w:val="both"/>
        <w:rPr>
          <w:b/>
        </w:rPr>
      </w:pPr>
      <w:r>
        <w:rPr>
          <w:b/>
        </w:rPr>
        <w:t>Tab</w:t>
      </w:r>
      <w:r w:rsidR="007A159F">
        <w:rPr>
          <w:b/>
        </w:rPr>
        <w:t xml:space="preserve">ella </w:t>
      </w:r>
      <w:r>
        <w:rPr>
          <w:b/>
        </w:rPr>
        <w:t>3</w:t>
      </w:r>
      <w:r w:rsidR="007A159F">
        <w:rPr>
          <w:b/>
        </w:rPr>
        <w:t>.</w:t>
      </w:r>
      <w:r>
        <w:rPr>
          <w:b/>
        </w:rPr>
        <w:t xml:space="preserve"> </w:t>
      </w:r>
      <w:r w:rsidRPr="00567979">
        <w:rPr>
          <w:b/>
        </w:rPr>
        <w:t>Ricoverati 2006-2016; numero casi, tassi standardizzati per età X 10.000 abitanti con IC95%</w:t>
      </w:r>
    </w:p>
    <w:p w14:paraId="28A26A03" w14:textId="77777777" w:rsidR="00567979" w:rsidRDefault="00567979" w:rsidP="00567979">
      <w:pPr>
        <w:spacing w:after="0" w:line="240" w:lineRule="auto"/>
        <w:jc w:val="both"/>
        <w:rPr>
          <w:b/>
        </w:rPr>
      </w:pPr>
      <w:r>
        <w:rPr>
          <w:b/>
        </w:rPr>
        <w:t>Provincia di Campobasso</w:t>
      </w:r>
      <w:r w:rsidRPr="00567979">
        <w:rPr>
          <w:b/>
        </w:rPr>
        <w:t>, Uomini.</w:t>
      </w:r>
    </w:p>
    <w:tbl>
      <w:tblPr>
        <w:tblStyle w:val="Grigliatabella"/>
        <w:tblW w:w="0" w:type="auto"/>
        <w:tblLook w:val="04A0" w:firstRow="1" w:lastRow="0" w:firstColumn="1" w:lastColumn="0" w:noHBand="0" w:noVBand="1"/>
      </w:tblPr>
      <w:tblGrid>
        <w:gridCol w:w="4800"/>
        <w:gridCol w:w="1420"/>
        <w:gridCol w:w="1420"/>
        <w:gridCol w:w="1500"/>
      </w:tblGrid>
      <w:tr w:rsidR="007A159F" w:rsidRPr="00567979" w14:paraId="4635A82A" w14:textId="77777777" w:rsidTr="005A5B4B">
        <w:trPr>
          <w:trHeight w:val="470"/>
        </w:trPr>
        <w:tc>
          <w:tcPr>
            <w:tcW w:w="4800" w:type="dxa"/>
            <w:vAlign w:val="center"/>
            <w:hideMark/>
          </w:tcPr>
          <w:p w14:paraId="79C9D06D"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4E4DCF8C" w14:textId="77777777" w:rsidR="007A159F" w:rsidRPr="007A159F" w:rsidRDefault="007A159F" w:rsidP="007A159F">
            <w:pPr>
              <w:jc w:val="center"/>
              <w:rPr>
                <w:b/>
                <w:bCs/>
              </w:rPr>
            </w:pPr>
            <w:r w:rsidRPr="007A159F">
              <w:rPr>
                <w:b/>
                <w:bCs/>
              </w:rPr>
              <w:t>N</w:t>
            </w:r>
          </w:p>
        </w:tc>
        <w:tc>
          <w:tcPr>
            <w:tcW w:w="1420" w:type="dxa"/>
            <w:vAlign w:val="center"/>
            <w:hideMark/>
          </w:tcPr>
          <w:p w14:paraId="1A2001B5"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58EE3A0B" w14:textId="77777777" w:rsidR="007A159F" w:rsidRPr="007A159F" w:rsidRDefault="007A159F" w:rsidP="007A159F">
            <w:pPr>
              <w:jc w:val="center"/>
              <w:rPr>
                <w:b/>
                <w:bCs/>
              </w:rPr>
            </w:pPr>
            <w:r w:rsidRPr="007A159F">
              <w:rPr>
                <w:b/>
                <w:bCs/>
              </w:rPr>
              <w:t>IC95%</w:t>
            </w:r>
          </w:p>
        </w:tc>
      </w:tr>
      <w:tr w:rsidR="007A159F" w:rsidRPr="00567979" w14:paraId="708B023D" w14:textId="77777777" w:rsidTr="00567979">
        <w:trPr>
          <w:trHeight w:val="310"/>
        </w:trPr>
        <w:tc>
          <w:tcPr>
            <w:tcW w:w="4800" w:type="dxa"/>
            <w:hideMark/>
          </w:tcPr>
          <w:p w14:paraId="138129E1" w14:textId="77777777" w:rsidR="007A159F" w:rsidRPr="00567979" w:rsidRDefault="007A159F" w:rsidP="007A159F">
            <w:pPr>
              <w:jc w:val="both"/>
            </w:pPr>
            <w:r w:rsidRPr="00567979">
              <w:t>Tutti i tumori maligni</w:t>
            </w:r>
          </w:p>
        </w:tc>
        <w:tc>
          <w:tcPr>
            <w:tcW w:w="1420" w:type="dxa"/>
            <w:hideMark/>
          </w:tcPr>
          <w:p w14:paraId="5D304F50" w14:textId="77777777" w:rsidR="007A159F" w:rsidRPr="00567979" w:rsidRDefault="007A159F" w:rsidP="007A159F">
            <w:pPr>
              <w:jc w:val="center"/>
            </w:pPr>
            <w:r w:rsidRPr="00567979">
              <w:t>7.143</w:t>
            </w:r>
          </w:p>
        </w:tc>
        <w:tc>
          <w:tcPr>
            <w:tcW w:w="1420" w:type="dxa"/>
            <w:hideMark/>
          </w:tcPr>
          <w:p w14:paraId="215FA135" w14:textId="77777777" w:rsidR="007A159F" w:rsidRPr="00567979" w:rsidRDefault="007A159F" w:rsidP="007A159F">
            <w:pPr>
              <w:jc w:val="center"/>
            </w:pPr>
            <w:r w:rsidRPr="00567979">
              <w:t>39,2</w:t>
            </w:r>
          </w:p>
        </w:tc>
        <w:tc>
          <w:tcPr>
            <w:tcW w:w="1500" w:type="dxa"/>
            <w:noWrap/>
            <w:hideMark/>
          </w:tcPr>
          <w:p w14:paraId="6CB82C5E" w14:textId="77777777" w:rsidR="007A159F" w:rsidRPr="00567979" w:rsidRDefault="007A159F" w:rsidP="007A159F">
            <w:pPr>
              <w:jc w:val="center"/>
            </w:pPr>
            <w:r w:rsidRPr="00567979">
              <w:t>38,3 - 40,2</w:t>
            </w:r>
          </w:p>
        </w:tc>
      </w:tr>
      <w:tr w:rsidR="007A159F" w:rsidRPr="00567979" w14:paraId="382C29A5" w14:textId="77777777" w:rsidTr="00567979">
        <w:trPr>
          <w:trHeight w:val="310"/>
        </w:trPr>
        <w:tc>
          <w:tcPr>
            <w:tcW w:w="4800" w:type="dxa"/>
            <w:hideMark/>
          </w:tcPr>
          <w:p w14:paraId="1FE1D42D" w14:textId="77777777" w:rsidR="007A159F" w:rsidRPr="00567979" w:rsidRDefault="007A159F" w:rsidP="007A159F">
            <w:pPr>
              <w:jc w:val="both"/>
            </w:pPr>
            <w:r w:rsidRPr="00567979">
              <w:t xml:space="preserve">   Tumore del polmone</w:t>
            </w:r>
          </w:p>
        </w:tc>
        <w:tc>
          <w:tcPr>
            <w:tcW w:w="1420" w:type="dxa"/>
            <w:hideMark/>
          </w:tcPr>
          <w:p w14:paraId="3595791F" w14:textId="77777777" w:rsidR="007A159F" w:rsidRPr="00567979" w:rsidRDefault="007A159F" w:rsidP="007A159F">
            <w:pPr>
              <w:jc w:val="center"/>
            </w:pPr>
            <w:r w:rsidRPr="00567979">
              <w:t>832</w:t>
            </w:r>
          </w:p>
        </w:tc>
        <w:tc>
          <w:tcPr>
            <w:tcW w:w="1420" w:type="dxa"/>
            <w:hideMark/>
          </w:tcPr>
          <w:p w14:paraId="42546BA2" w14:textId="77777777" w:rsidR="007A159F" w:rsidRPr="00567979" w:rsidRDefault="007A159F" w:rsidP="007A159F">
            <w:pPr>
              <w:jc w:val="center"/>
            </w:pPr>
            <w:r w:rsidRPr="00567979">
              <w:t>4,3</w:t>
            </w:r>
          </w:p>
        </w:tc>
        <w:tc>
          <w:tcPr>
            <w:tcW w:w="1500" w:type="dxa"/>
            <w:noWrap/>
            <w:hideMark/>
          </w:tcPr>
          <w:p w14:paraId="3BB209BB" w14:textId="77777777" w:rsidR="007A159F" w:rsidRPr="00567979" w:rsidRDefault="007A159F" w:rsidP="007A159F">
            <w:pPr>
              <w:jc w:val="center"/>
            </w:pPr>
            <w:r w:rsidRPr="00567979">
              <w:t>4,0 - 4,6</w:t>
            </w:r>
          </w:p>
        </w:tc>
      </w:tr>
      <w:tr w:rsidR="007A159F" w:rsidRPr="00567979" w14:paraId="6FC6653A" w14:textId="77777777" w:rsidTr="00567979">
        <w:trPr>
          <w:trHeight w:val="310"/>
        </w:trPr>
        <w:tc>
          <w:tcPr>
            <w:tcW w:w="4800" w:type="dxa"/>
            <w:hideMark/>
          </w:tcPr>
          <w:p w14:paraId="11466933" w14:textId="77777777" w:rsidR="007A159F" w:rsidRPr="00567979" w:rsidRDefault="007A159F" w:rsidP="007A159F">
            <w:pPr>
              <w:jc w:val="both"/>
            </w:pPr>
            <w:r w:rsidRPr="00567979">
              <w:t>Malattie del sistema circolatorio</w:t>
            </w:r>
          </w:p>
        </w:tc>
        <w:tc>
          <w:tcPr>
            <w:tcW w:w="1420" w:type="dxa"/>
            <w:hideMark/>
          </w:tcPr>
          <w:p w14:paraId="553E7D3A" w14:textId="77777777" w:rsidR="007A159F" w:rsidRPr="00567979" w:rsidRDefault="007A159F" w:rsidP="007A159F">
            <w:pPr>
              <w:jc w:val="center"/>
            </w:pPr>
            <w:r w:rsidRPr="00567979">
              <w:t>16.473</w:t>
            </w:r>
          </w:p>
        </w:tc>
        <w:tc>
          <w:tcPr>
            <w:tcW w:w="1420" w:type="dxa"/>
            <w:hideMark/>
          </w:tcPr>
          <w:p w14:paraId="595700A5" w14:textId="77777777" w:rsidR="007A159F" w:rsidRPr="00567979" w:rsidRDefault="007A159F" w:rsidP="007A159F">
            <w:pPr>
              <w:jc w:val="center"/>
            </w:pPr>
            <w:r w:rsidRPr="00567979">
              <w:t>92,9</w:t>
            </w:r>
          </w:p>
        </w:tc>
        <w:tc>
          <w:tcPr>
            <w:tcW w:w="1500" w:type="dxa"/>
            <w:noWrap/>
            <w:hideMark/>
          </w:tcPr>
          <w:p w14:paraId="79C0AD54" w14:textId="77777777" w:rsidR="007A159F" w:rsidRPr="00567979" w:rsidRDefault="007A159F" w:rsidP="007A159F">
            <w:pPr>
              <w:jc w:val="center"/>
            </w:pPr>
            <w:r w:rsidRPr="00567979">
              <w:t>91,4 - 94,5</w:t>
            </w:r>
          </w:p>
        </w:tc>
      </w:tr>
      <w:tr w:rsidR="007A159F" w:rsidRPr="00567979" w14:paraId="2B2D1305" w14:textId="77777777" w:rsidTr="00567979">
        <w:trPr>
          <w:trHeight w:val="310"/>
        </w:trPr>
        <w:tc>
          <w:tcPr>
            <w:tcW w:w="4800" w:type="dxa"/>
            <w:hideMark/>
          </w:tcPr>
          <w:p w14:paraId="292649B3" w14:textId="77777777" w:rsidR="007A159F" w:rsidRPr="00567979" w:rsidRDefault="007A159F" w:rsidP="007A159F">
            <w:pPr>
              <w:jc w:val="both"/>
            </w:pPr>
            <w:r w:rsidRPr="00567979">
              <w:t xml:space="preserve">   Malattie cardiache</w:t>
            </w:r>
          </w:p>
        </w:tc>
        <w:tc>
          <w:tcPr>
            <w:tcW w:w="1420" w:type="dxa"/>
            <w:hideMark/>
          </w:tcPr>
          <w:p w14:paraId="3CE61399" w14:textId="77777777" w:rsidR="007A159F" w:rsidRPr="00567979" w:rsidRDefault="007A159F" w:rsidP="007A159F">
            <w:pPr>
              <w:jc w:val="center"/>
            </w:pPr>
            <w:r w:rsidRPr="00567979">
              <w:t>11.242</w:t>
            </w:r>
          </w:p>
        </w:tc>
        <w:tc>
          <w:tcPr>
            <w:tcW w:w="1420" w:type="dxa"/>
            <w:hideMark/>
          </w:tcPr>
          <w:p w14:paraId="618A9791" w14:textId="77777777" w:rsidR="007A159F" w:rsidRPr="00567979" w:rsidRDefault="007A159F" w:rsidP="007A159F">
            <w:pPr>
              <w:jc w:val="center"/>
            </w:pPr>
            <w:r w:rsidRPr="00567979">
              <w:t>61,7</w:t>
            </w:r>
          </w:p>
        </w:tc>
        <w:tc>
          <w:tcPr>
            <w:tcW w:w="1500" w:type="dxa"/>
            <w:noWrap/>
            <w:hideMark/>
          </w:tcPr>
          <w:p w14:paraId="1CE57E5A" w14:textId="77777777" w:rsidR="007A159F" w:rsidRPr="00567979" w:rsidRDefault="007A159F" w:rsidP="007A159F">
            <w:pPr>
              <w:jc w:val="center"/>
            </w:pPr>
            <w:r w:rsidRPr="00567979">
              <w:t>60,5 - 63,0</w:t>
            </w:r>
          </w:p>
        </w:tc>
      </w:tr>
      <w:tr w:rsidR="007A159F" w:rsidRPr="00567979" w14:paraId="17039E81" w14:textId="77777777" w:rsidTr="00567979">
        <w:trPr>
          <w:trHeight w:val="310"/>
        </w:trPr>
        <w:tc>
          <w:tcPr>
            <w:tcW w:w="4800" w:type="dxa"/>
            <w:hideMark/>
          </w:tcPr>
          <w:p w14:paraId="7B3F75DD" w14:textId="77777777" w:rsidR="007A159F" w:rsidRPr="00567979" w:rsidRDefault="007A159F" w:rsidP="007A159F">
            <w:pPr>
              <w:jc w:val="both"/>
            </w:pPr>
            <w:r w:rsidRPr="00567979">
              <w:t xml:space="preserve">   Malattie cerebrovascolari</w:t>
            </w:r>
          </w:p>
        </w:tc>
        <w:tc>
          <w:tcPr>
            <w:tcW w:w="1420" w:type="dxa"/>
            <w:hideMark/>
          </w:tcPr>
          <w:p w14:paraId="4C999153" w14:textId="77777777" w:rsidR="007A159F" w:rsidRPr="00567979" w:rsidRDefault="007A159F" w:rsidP="007A159F">
            <w:pPr>
              <w:jc w:val="center"/>
            </w:pPr>
            <w:r w:rsidRPr="00567979">
              <w:t>4.446</w:t>
            </w:r>
          </w:p>
        </w:tc>
        <w:tc>
          <w:tcPr>
            <w:tcW w:w="1420" w:type="dxa"/>
            <w:hideMark/>
          </w:tcPr>
          <w:p w14:paraId="3A6908AD" w14:textId="77777777" w:rsidR="007A159F" w:rsidRPr="00567979" w:rsidRDefault="007A159F" w:rsidP="007A159F">
            <w:pPr>
              <w:jc w:val="center"/>
            </w:pPr>
            <w:r w:rsidRPr="00567979">
              <w:t>21,5</w:t>
            </w:r>
          </w:p>
        </w:tc>
        <w:tc>
          <w:tcPr>
            <w:tcW w:w="1500" w:type="dxa"/>
            <w:noWrap/>
            <w:hideMark/>
          </w:tcPr>
          <w:p w14:paraId="6A7EA16C" w14:textId="77777777" w:rsidR="007A159F" w:rsidRPr="00567979" w:rsidRDefault="007A159F" w:rsidP="007A159F">
            <w:pPr>
              <w:jc w:val="center"/>
            </w:pPr>
            <w:r w:rsidRPr="00567979">
              <w:t>20,8 - 22,1</w:t>
            </w:r>
          </w:p>
        </w:tc>
      </w:tr>
      <w:tr w:rsidR="007A159F" w:rsidRPr="00567979" w14:paraId="69F0084E" w14:textId="77777777" w:rsidTr="00567979">
        <w:trPr>
          <w:trHeight w:val="310"/>
        </w:trPr>
        <w:tc>
          <w:tcPr>
            <w:tcW w:w="4800" w:type="dxa"/>
            <w:hideMark/>
          </w:tcPr>
          <w:p w14:paraId="00E46E6B" w14:textId="77777777" w:rsidR="007A159F" w:rsidRPr="00567979" w:rsidRDefault="007A159F" w:rsidP="007A159F">
            <w:pPr>
              <w:jc w:val="both"/>
            </w:pPr>
            <w:r w:rsidRPr="00567979">
              <w:t>Malattie del sistema respiratorio</w:t>
            </w:r>
          </w:p>
        </w:tc>
        <w:tc>
          <w:tcPr>
            <w:tcW w:w="1420" w:type="dxa"/>
            <w:hideMark/>
          </w:tcPr>
          <w:p w14:paraId="566CB126" w14:textId="77777777" w:rsidR="007A159F" w:rsidRPr="00567979" w:rsidRDefault="007A159F" w:rsidP="007A159F">
            <w:pPr>
              <w:jc w:val="center"/>
            </w:pPr>
            <w:r w:rsidRPr="00567979">
              <w:t>9.509</w:t>
            </w:r>
          </w:p>
        </w:tc>
        <w:tc>
          <w:tcPr>
            <w:tcW w:w="1420" w:type="dxa"/>
            <w:hideMark/>
          </w:tcPr>
          <w:p w14:paraId="22D4D414" w14:textId="77777777" w:rsidR="007A159F" w:rsidRPr="00567979" w:rsidRDefault="007A159F" w:rsidP="007A159F">
            <w:pPr>
              <w:jc w:val="center"/>
            </w:pPr>
            <w:r w:rsidRPr="00567979">
              <w:t>75,7</w:t>
            </w:r>
          </w:p>
        </w:tc>
        <w:tc>
          <w:tcPr>
            <w:tcW w:w="1500" w:type="dxa"/>
            <w:noWrap/>
            <w:hideMark/>
          </w:tcPr>
          <w:p w14:paraId="59D8B6F7" w14:textId="77777777" w:rsidR="007A159F" w:rsidRPr="00567979" w:rsidRDefault="007A159F" w:rsidP="007A159F">
            <w:pPr>
              <w:jc w:val="center"/>
            </w:pPr>
            <w:r w:rsidRPr="00567979">
              <w:t>74,0 - 77,4</w:t>
            </w:r>
          </w:p>
        </w:tc>
      </w:tr>
      <w:tr w:rsidR="007A159F" w:rsidRPr="00567979" w14:paraId="50714101" w14:textId="77777777" w:rsidTr="00567979">
        <w:trPr>
          <w:trHeight w:val="310"/>
        </w:trPr>
        <w:tc>
          <w:tcPr>
            <w:tcW w:w="4800" w:type="dxa"/>
            <w:hideMark/>
          </w:tcPr>
          <w:p w14:paraId="387B8BBA" w14:textId="77777777" w:rsidR="007A159F" w:rsidRPr="00567979" w:rsidRDefault="007A159F" w:rsidP="007A159F">
            <w:pPr>
              <w:jc w:val="both"/>
            </w:pPr>
            <w:r w:rsidRPr="00567979">
              <w:t xml:space="preserve">   Malattie respiratorie acute</w:t>
            </w:r>
          </w:p>
        </w:tc>
        <w:tc>
          <w:tcPr>
            <w:tcW w:w="1420" w:type="dxa"/>
            <w:hideMark/>
          </w:tcPr>
          <w:p w14:paraId="76AC2DEB" w14:textId="77777777" w:rsidR="007A159F" w:rsidRPr="00567979" w:rsidRDefault="007A159F" w:rsidP="007A159F">
            <w:pPr>
              <w:jc w:val="center"/>
            </w:pPr>
            <w:r w:rsidRPr="00567979">
              <w:t>3.430</w:t>
            </w:r>
          </w:p>
        </w:tc>
        <w:tc>
          <w:tcPr>
            <w:tcW w:w="1420" w:type="dxa"/>
            <w:hideMark/>
          </w:tcPr>
          <w:p w14:paraId="466A77EC" w14:textId="77777777" w:rsidR="007A159F" w:rsidRPr="00567979" w:rsidRDefault="007A159F" w:rsidP="007A159F">
            <w:pPr>
              <w:jc w:val="center"/>
            </w:pPr>
            <w:r w:rsidRPr="00567979">
              <w:t>27,5</w:t>
            </w:r>
          </w:p>
        </w:tc>
        <w:tc>
          <w:tcPr>
            <w:tcW w:w="1500" w:type="dxa"/>
            <w:noWrap/>
            <w:hideMark/>
          </w:tcPr>
          <w:p w14:paraId="7D8773C5" w14:textId="77777777" w:rsidR="007A159F" w:rsidRPr="00567979" w:rsidRDefault="007A159F" w:rsidP="007A159F">
            <w:pPr>
              <w:jc w:val="center"/>
            </w:pPr>
            <w:r w:rsidRPr="00567979">
              <w:t>26,4 - 28,6</w:t>
            </w:r>
          </w:p>
        </w:tc>
      </w:tr>
      <w:tr w:rsidR="007A159F" w:rsidRPr="00567979" w14:paraId="641159CF" w14:textId="77777777" w:rsidTr="00567979">
        <w:trPr>
          <w:trHeight w:val="310"/>
        </w:trPr>
        <w:tc>
          <w:tcPr>
            <w:tcW w:w="4800" w:type="dxa"/>
            <w:hideMark/>
          </w:tcPr>
          <w:p w14:paraId="23D7A7B2" w14:textId="77777777" w:rsidR="007A159F" w:rsidRPr="00567979" w:rsidRDefault="007A159F" w:rsidP="007A159F">
            <w:pPr>
              <w:jc w:val="both"/>
            </w:pPr>
            <w:r w:rsidRPr="00567979">
              <w:t xml:space="preserve">   Malattie respiratorie croniche</w:t>
            </w:r>
          </w:p>
        </w:tc>
        <w:tc>
          <w:tcPr>
            <w:tcW w:w="1420" w:type="dxa"/>
            <w:hideMark/>
          </w:tcPr>
          <w:p w14:paraId="23491375" w14:textId="77777777" w:rsidR="007A159F" w:rsidRPr="00567979" w:rsidRDefault="007A159F" w:rsidP="007A159F">
            <w:pPr>
              <w:jc w:val="center"/>
            </w:pPr>
            <w:r w:rsidRPr="00567979">
              <w:t>1.246</w:t>
            </w:r>
          </w:p>
        </w:tc>
        <w:tc>
          <w:tcPr>
            <w:tcW w:w="1420" w:type="dxa"/>
            <w:hideMark/>
          </w:tcPr>
          <w:p w14:paraId="457C4765" w14:textId="77777777" w:rsidR="007A159F" w:rsidRPr="00567979" w:rsidRDefault="007A159F" w:rsidP="007A159F">
            <w:pPr>
              <w:jc w:val="center"/>
            </w:pPr>
            <w:r w:rsidRPr="00567979">
              <w:t>5,7</w:t>
            </w:r>
          </w:p>
        </w:tc>
        <w:tc>
          <w:tcPr>
            <w:tcW w:w="1500" w:type="dxa"/>
            <w:noWrap/>
            <w:hideMark/>
          </w:tcPr>
          <w:p w14:paraId="4BCBCA01" w14:textId="77777777" w:rsidR="007A159F" w:rsidRPr="00567979" w:rsidRDefault="007A159F" w:rsidP="007A159F">
            <w:pPr>
              <w:jc w:val="center"/>
            </w:pPr>
            <w:r w:rsidRPr="00567979">
              <w:t>5,4 - 6,0</w:t>
            </w:r>
          </w:p>
        </w:tc>
      </w:tr>
      <w:tr w:rsidR="007A159F" w:rsidRPr="00567979" w14:paraId="0C2CC9A1" w14:textId="77777777" w:rsidTr="00567979">
        <w:trPr>
          <w:trHeight w:val="310"/>
        </w:trPr>
        <w:tc>
          <w:tcPr>
            <w:tcW w:w="4800" w:type="dxa"/>
            <w:hideMark/>
          </w:tcPr>
          <w:p w14:paraId="08AF450D" w14:textId="77777777" w:rsidR="007A159F" w:rsidRPr="00567979" w:rsidRDefault="007A159F" w:rsidP="007A159F">
            <w:pPr>
              <w:jc w:val="both"/>
            </w:pPr>
            <w:r w:rsidRPr="00567979">
              <w:t>Malattie dell'apparato digerente</w:t>
            </w:r>
          </w:p>
        </w:tc>
        <w:tc>
          <w:tcPr>
            <w:tcW w:w="1420" w:type="dxa"/>
            <w:hideMark/>
          </w:tcPr>
          <w:p w14:paraId="46F8B7F3" w14:textId="77777777" w:rsidR="007A159F" w:rsidRPr="00567979" w:rsidRDefault="007A159F" w:rsidP="007A159F">
            <w:pPr>
              <w:jc w:val="center"/>
            </w:pPr>
            <w:r w:rsidRPr="00567979">
              <w:t>13.249</w:t>
            </w:r>
          </w:p>
        </w:tc>
        <w:tc>
          <w:tcPr>
            <w:tcW w:w="1420" w:type="dxa"/>
            <w:hideMark/>
          </w:tcPr>
          <w:p w14:paraId="4EB5AFE8" w14:textId="77777777" w:rsidR="007A159F" w:rsidRPr="00567979" w:rsidRDefault="007A159F" w:rsidP="007A159F">
            <w:pPr>
              <w:jc w:val="center"/>
            </w:pPr>
            <w:r w:rsidRPr="00567979">
              <w:t>92,1</w:t>
            </w:r>
          </w:p>
        </w:tc>
        <w:tc>
          <w:tcPr>
            <w:tcW w:w="1500" w:type="dxa"/>
            <w:noWrap/>
            <w:hideMark/>
          </w:tcPr>
          <w:p w14:paraId="2B2A2DD3" w14:textId="77777777" w:rsidR="007A159F" w:rsidRPr="00567979" w:rsidRDefault="007A159F" w:rsidP="007A159F">
            <w:pPr>
              <w:jc w:val="center"/>
            </w:pPr>
            <w:r w:rsidRPr="00567979">
              <w:t>90,4 - 93,8</w:t>
            </w:r>
          </w:p>
        </w:tc>
      </w:tr>
      <w:tr w:rsidR="007A159F" w:rsidRPr="00567979" w14:paraId="3C64FD7A" w14:textId="77777777" w:rsidTr="00567979">
        <w:trPr>
          <w:trHeight w:val="310"/>
        </w:trPr>
        <w:tc>
          <w:tcPr>
            <w:tcW w:w="4800" w:type="dxa"/>
            <w:hideMark/>
          </w:tcPr>
          <w:p w14:paraId="2D3FCE07" w14:textId="77777777" w:rsidR="007A159F" w:rsidRPr="00567979" w:rsidRDefault="007A159F" w:rsidP="007A159F">
            <w:pPr>
              <w:jc w:val="both"/>
            </w:pPr>
            <w:r w:rsidRPr="00567979">
              <w:t>Malattie dell'apparato urinario</w:t>
            </w:r>
          </w:p>
        </w:tc>
        <w:tc>
          <w:tcPr>
            <w:tcW w:w="1420" w:type="dxa"/>
            <w:hideMark/>
          </w:tcPr>
          <w:p w14:paraId="03CFA04A" w14:textId="77777777" w:rsidR="007A159F" w:rsidRPr="00567979" w:rsidRDefault="007A159F" w:rsidP="007A159F">
            <w:pPr>
              <w:jc w:val="center"/>
            </w:pPr>
            <w:r w:rsidRPr="00567979">
              <w:t>3.802</w:t>
            </w:r>
          </w:p>
        </w:tc>
        <w:tc>
          <w:tcPr>
            <w:tcW w:w="1420" w:type="dxa"/>
            <w:hideMark/>
          </w:tcPr>
          <w:p w14:paraId="4F44DDC5" w14:textId="77777777" w:rsidR="007A159F" w:rsidRPr="00567979" w:rsidRDefault="007A159F" w:rsidP="007A159F">
            <w:pPr>
              <w:jc w:val="center"/>
            </w:pPr>
            <w:r w:rsidRPr="00567979">
              <w:t>23,7</w:t>
            </w:r>
          </w:p>
        </w:tc>
        <w:tc>
          <w:tcPr>
            <w:tcW w:w="1500" w:type="dxa"/>
            <w:noWrap/>
            <w:hideMark/>
          </w:tcPr>
          <w:p w14:paraId="1FFCB2D3" w14:textId="77777777" w:rsidR="007A159F" w:rsidRPr="00567979" w:rsidRDefault="007A159F" w:rsidP="007A159F">
            <w:pPr>
              <w:jc w:val="center"/>
            </w:pPr>
            <w:r w:rsidRPr="00567979">
              <w:t>22,9 - 24,5</w:t>
            </w:r>
          </w:p>
        </w:tc>
      </w:tr>
    </w:tbl>
    <w:p w14:paraId="095D0D56" w14:textId="77777777" w:rsidR="009A0F89" w:rsidRDefault="009A0F89" w:rsidP="00567979">
      <w:pPr>
        <w:spacing w:after="0" w:line="240" w:lineRule="auto"/>
        <w:jc w:val="both"/>
        <w:rPr>
          <w:b/>
        </w:rPr>
      </w:pPr>
    </w:p>
    <w:p w14:paraId="51D551D1" w14:textId="77777777" w:rsidR="009A0F89" w:rsidRDefault="009A0F89" w:rsidP="00567979">
      <w:pPr>
        <w:spacing w:after="0" w:line="240" w:lineRule="auto"/>
        <w:jc w:val="both"/>
        <w:rPr>
          <w:b/>
        </w:rPr>
      </w:pPr>
    </w:p>
    <w:p w14:paraId="7FB093E4" w14:textId="77777777" w:rsidR="00567979" w:rsidRPr="00567979" w:rsidRDefault="00567979" w:rsidP="00567979">
      <w:pPr>
        <w:spacing w:after="0" w:line="240" w:lineRule="auto"/>
        <w:jc w:val="both"/>
        <w:rPr>
          <w:b/>
        </w:rPr>
      </w:pPr>
      <w:r>
        <w:rPr>
          <w:b/>
        </w:rPr>
        <w:lastRenderedPageBreak/>
        <w:t>Tab</w:t>
      </w:r>
      <w:r w:rsidR="007A159F">
        <w:rPr>
          <w:b/>
        </w:rPr>
        <w:t>ella</w:t>
      </w:r>
      <w:r>
        <w:rPr>
          <w:b/>
        </w:rPr>
        <w:t xml:space="preserve"> 4</w:t>
      </w:r>
      <w:r w:rsidR="007A159F">
        <w:rPr>
          <w:b/>
        </w:rPr>
        <w:t>.</w:t>
      </w:r>
      <w:r>
        <w:rPr>
          <w:b/>
        </w:rPr>
        <w:t xml:space="preserve"> </w:t>
      </w:r>
      <w:r w:rsidRPr="00567979">
        <w:rPr>
          <w:b/>
        </w:rPr>
        <w:t>Ricoverati 2006-2016; numero casi, tassi standardizzati per età X 10.000 abitanti con IC95%</w:t>
      </w:r>
    </w:p>
    <w:p w14:paraId="34269148" w14:textId="77777777" w:rsidR="00567979" w:rsidRDefault="00567979" w:rsidP="00567979">
      <w:pPr>
        <w:spacing w:after="0" w:line="240" w:lineRule="auto"/>
        <w:jc w:val="both"/>
        <w:rPr>
          <w:b/>
        </w:rPr>
      </w:pPr>
      <w:r>
        <w:rPr>
          <w:b/>
        </w:rPr>
        <w:t>Provincia di Campobasso</w:t>
      </w:r>
      <w:r w:rsidRPr="00567979">
        <w:rPr>
          <w:b/>
        </w:rPr>
        <w:t xml:space="preserve">, </w:t>
      </w:r>
      <w:r>
        <w:rPr>
          <w:b/>
        </w:rPr>
        <w:t>Donne</w:t>
      </w:r>
      <w:r w:rsidRPr="00567979">
        <w:rPr>
          <w:b/>
        </w:rPr>
        <w:t>.</w:t>
      </w:r>
    </w:p>
    <w:tbl>
      <w:tblPr>
        <w:tblStyle w:val="Grigliatabella"/>
        <w:tblW w:w="0" w:type="auto"/>
        <w:tblLook w:val="04A0" w:firstRow="1" w:lastRow="0" w:firstColumn="1" w:lastColumn="0" w:noHBand="0" w:noVBand="1"/>
      </w:tblPr>
      <w:tblGrid>
        <w:gridCol w:w="4800"/>
        <w:gridCol w:w="1420"/>
        <w:gridCol w:w="1420"/>
        <w:gridCol w:w="1500"/>
      </w:tblGrid>
      <w:tr w:rsidR="007A159F" w:rsidRPr="00567979" w14:paraId="746140B6" w14:textId="77777777" w:rsidTr="005A5B4B">
        <w:trPr>
          <w:trHeight w:val="480"/>
        </w:trPr>
        <w:tc>
          <w:tcPr>
            <w:tcW w:w="4800" w:type="dxa"/>
            <w:vAlign w:val="center"/>
            <w:hideMark/>
          </w:tcPr>
          <w:p w14:paraId="46A04FF2"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0F27DA1F" w14:textId="77777777" w:rsidR="007A159F" w:rsidRPr="007A159F" w:rsidRDefault="007A159F" w:rsidP="007A159F">
            <w:pPr>
              <w:jc w:val="center"/>
              <w:rPr>
                <w:b/>
                <w:bCs/>
              </w:rPr>
            </w:pPr>
            <w:r w:rsidRPr="007A159F">
              <w:rPr>
                <w:b/>
                <w:bCs/>
              </w:rPr>
              <w:t>N</w:t>
            </w:r>
          </w:p>
        </w:tc>
        <w:tc>
          <w:tcPr>
            <w:tcW w:w="1420" w:type="dxa"/>
            <w:vAlign w:val="center"/>
            <w:hideMark/>
          </w:tcPr>
          <w:p w14:paraId="06E79DA0"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7E96A5BD" w14:textId="77777777" w:rsidR="007A159F" w:rsidRPr="007A159F" w:rsidRDefault="007A159F" w:rsidP="007A159F">
            <w:pPr>
              <w:jc w:val="center"/>
              <w:rPr>
                <w:b/>
                <w:bCs/>
              </w:rPr>
            </w:pPr>
            <w:r w:rsidRPr="007A159F">
              <w:rPr>
                <w:b/>
                <w:bCs/>
              </w:rPr>
              <w:t>IC95%</w:t>
            </w:r>
          </w:p>
        </w:tc>
      </w:tr>
      <w:tr w:rsidR="007A159F" w:rsidRPr="00567979" w14:paraId="6F9A421A" w14:textId="77777777" w:rsidTr="00567979">
        <w:trPr>
          <w:trHeight w:val="320"/>
        </w:trPr>
        <w:tc>
          <w:tcPr>
            <w:tcW w:w="4800" w:type="dxa"/>
            <w:hideMark/>
          </w:tcPr>
          <w:p w14:paraId="51FC8C76" w14:textId="77777777" w:rsidR="007A159F" w:rsidRPr="00567979" w:rsidRDefault="007A159F" w:rsidP="007A159F">
            <w:pPr>
              <w:jc w:val="both"/>
            </w:pPr>
            <w:r w:rsidRPr="00567979">
              <w:t>Tutti i tumori maligni</w:t>
            </w:r>
          </w:p>
        </w:tc>
        <w:tc>
          <w:tcPr>
            <w:tcW w:w="1420" w:type="dxa"/>
            <w:hideMark/>
          </w:tcPr>
          <w:p w14:paraId="60A57EEE" w14:textId="77777777" w:rsidR="007A159F" w:rsidRPr="00567979" w:rsidRDefault="007A159F" w:rsidP="007A159F">
            <w:pPr>
              <w:jc w:val="center"/>
            </w:pPr>
            <w:r w:rsidRPr="00567979">
              <w:t>6.024</w:t>
            </w:r>
          </w:p>
        </w:tc>
        <w:tc>
          <w:tcPr>
            <w:tcW w:w="1420" w:type="dxa"/>
            <w:hideMark/>
          </w:tcPr>
          <w:p w14:paraId="48035829" w14:textId="77777777" w:rsidR="007A159F" w:rsidRPr="00567979" w:rsidRDefault="007A159F" w:rsidP="007A159F">
            <w:pPr>
              <w:jc w:val="center"/>
            </w:pPr>
            <w:r w:rsidRPr="00567979">
              <w:t>30,5</w:t>
            </w:r>
          </w:p>
        </w:tc>
        <w:tc>
          <w:tcPr>
            <w:tcW w:w="1500" w:type="dxa"/>
            <w:noWrap/>
            <w:hideMark/>
          </w:tcPr>
          <w:p w14:paraId="435A05B8" w14:textId="77777777" w:rsidR="007A159F" w:rsidRPr="00567979" w:rsidRDefault="007A159F" w:rsidP="007A159F">
            <w:pPr>
              <w:jc w:val="center"/>
            </w:pPr>
            <w:r w:rsidRPr="00567979">
              <w:t>29,7 - 31,4</w:t>
            </w:r>
          </w:p>
        </w:tc>
      </w:tr>
      <w:tr w:rsidR="007A159F" w:rsidRPr="00567979" w14:paraId="03434FB4" w14:textId="77777777" w:rsidTr="00567979">
        <w:trPr>
          <w:trHeight w:val="320"/>
        </w:trPr>
        <w:tc>
          <w:tcPr>
            <w:tcW w:w="4800" w:type="dxa"/>
            <w:hideMark/>
          </w:tcPr>
          <w:p w14:paraId="0BE6CC9F" w14:textId="77777777" w:rsidR="007A159F" w:rsidRPr="00567979" w:rsidRDefault="007A159F" w:rsidP="007A159F">
            <w:pPr>
              <w:jc w:val="both"/>
            </w:pPr>
            <w:r w:rsidRPr="00567979">
              <w:t xml:space="preserve">   Tumore del polmone</w:t>
            </w:r>
          </w:p>
        </w:tc>
        <w:tc>
          <w:tcPr>
            <w:tcW w:w="1420" w:type="dxa"/>
            <w:hideMark/>
          </w:tcPr>
          <w:p w14:paraId="304495E7" w14:textId="77777777" w:rsidR="007A159F" w:rsidRPr="00567979" w:rsidRDefault="007A159F" w:rsidP="007A159F">
            <w:pPr>
              <w:jc w:val="center"/>
            </w:pPr>
            <w:r w:rsidRPr="00567979">
              <w:t>221</w:t>
            </w:r>
          </w:p>
        </w:tc>
        <w:tc>
          <w:tcPr>
            <w:tcW w:w="1420" w:type="dxa"/>
            <w:hideMark/>
          </w:tcPr>
          <w:p w14:paraId="523783DA" w14:textId="77777777" w:rsidR="007A159F" w:rsidRPr="00567979" w:rsidRDefault="007A159F" w:rsidP="007A159F">
            <w:pPr>
              <w:jc w:val="center"/>
            </w:pPr>
            <w:r w:rsidRPr="00567979">
              <w:t>1,1</w:t>
            </w:r>
          </w:p>
        </w:tc>
        <w:tc>
          <w:tcPr>
            <w:tcW w:w="1500" w:type="dxa"/>
            <w:noWrap/>
            <w:hideMark/>
          </w:tcPr>
          <w:p w14:paraId="36CA203B" w14:textId="77777777" w:rsidR="007A159F" w:rsidRPr="00567979" w:rsidRDefault="007A159F" w:rsidP="007A159F">
            <w:pPr>
              <w:jc w:val="center"/>
            </w:pPr>
            <w:r w:rsidRPr="00567979">
              <w:t>1,0 - 1,3</w:t>
            </w:r>
          </w:p>
        </w:tc>
      </w:tr>
      <w:tr w:rsidR="007A159F" w:rsidRPr="00567979" w14:paraId="23FF1A49" w14:textId="77777777" w:rsidTr="00567979">
        <w:trPr>
          <w:trHeight w:val="320"/>
        </w:trPr>
        <w:tc>
          <w:tcPr>
            <w:tcW w:w="4800" w:type="dxa"/>
            <w:hideMark/>
          </w:tcPr>
          <w:p w14:paraId="48555ED1" w14:textId="77777777" w:rsidR="007A159F" w:rsidRPr="00567979" w:rsidRDefault="007A159F" w:rsidP="007A159F">
            <w:pPr>
              <w:jc w:val="both"/>
            </w:pPr>
            <w:r w:rsidRPr="00567979">
              <w:t>Malattie del sistema circolatorio</w:t>
            </w:r>
          </w:p>
        </w:tc>
        <w:tc>
          <w:tcPr>
            <w:tcW w:w="1420" w:type="dxa"/>
            <w:hideMark/>
          </w:tcPr>
          <w:p w14:paraId="0E235B23" w14:textId="77777777" w:rsidR="007A159F" w:rsidRPr="00567979" w:rsidRDefault="007A159F" w:rsidP="007A159F">
            <w:pPr>
              <w:jc w:val="center"/>
            </w:pPr>
            <w:r w:rsidRPr="00567979">
              <w:t>13.963</w:t>
            </w:r>
          </w:p>
        </w:tc>
        <w:tc>
          <w:tcPr>
            <w:tcW w:w="1420" w:type="dxa"/>
            <w:hideMark/>
          </w:tcPr>
          <w:p w14:paraId="7D6C04B5" w14:textId="77777777" w:rsidR="007A159F" w:rsidRPr="00567979" w:rsidRDefault="007A159F" w:rsidP="007A159F">
            <w:pPr>
              <w:jc w:val="center"/>
            </w:pPr>
            <w:r w:rsidRPr="00567979">
              <w:t>56,7</w:t>
            </w:r>
          </w:p>
        </w:tc>
        <w:tc>
          <w:tcPr>
            <w:tcW w:w="1500" w:type="dxa"/>
            <w:noWrap/>
            <w:hideMark/>
          </w:tcPr>
          <w:p w14:paraId="33FDA065" w14:textId="77777777" w:rsidR="007A159F" w:rsidRPr="00567979" w:rsidRDefault="007A159F" w:rsidP="007A159F">
            <w:pPr>
              <w:jc w:val="center"/>
            </w:pPr>
            <w:r w:rsidRPr="00567979">
              <w:t>55,6 - 57,8</w:t>
            </w:r>
          </w:p>
        </w:tc>
      </w:tr>
      <w:tr w:rsidR="007A159F" w:rsidRPr="00567979" w14:paraId="79F72775" w14:textId="77777777" w:rsidTr="00567979">
        <w:trPr>
          <w:trHeight w:val="320"/>
        </w:trPr>
        <w:tc>
          <w:tcPr>
            <w:tcW w:w="4800" w:type="dxa"/>
            <w:hideMark/>
          </w:tcPr>
          <w:p w14:paraId="0CA022F6" w14:textId="77777777" w:rsidR="007A159F" w:rsidRPr="00567979" w:rsidRDefault="007A159F" w:rsidP="007A159F">
            <w:pPr>
              <w:jc w:val="both"/>
            </w:pPr>
            <w:r w:rsidRPr="00567979">
              <w:t xml:space="preserve">   Malattie cardiache</w:t>
            </w:r>
          </w:p>
        </w:tc>
        <w:tc>
          <w:tcPr>
            <w:tcW w:w="1420" w:type="dxa"/>
            <w:hideMark/>
          </w:tcPr>
          <w:p w14:paraId="7669F2EF" w14:textId="77777777" w:rsidR="007A159F" w:rsidRPr="00567979" w:rsidRDefault="007A159F" w:rsidP="007A159F">
            <w:pPr>
              <w:jc w:val="center"/>
            </w:pPr>
            <w:r w:rsidRPr="00567979">
              <w:t>9.282</w:t>
            </w:r>
          </w:p>
        </w:tc>
        <w:tc>
          <w:tcPr>
            <w:tcW w:w="1420" w:type="dxa"/>
            <w:hideMark/>
          </w:tcPr>
          <w:p w14:paraId="5999A42C" w14:textId="77777777" w:rsidR="007A159F" w:rsidRPr="00567979" w:rsidRDefault="007A159F" w:rsidP="007A159F">
            <w:pPr>
              <w:jc w:val="center"/>
            </w:pPr>
            <w:r w:rsidRPr="00567979">
              <w:t>36,0</w:t>
            </w:r>
          </w:p>
        </w:tc>
        <w:tc>
          <w:tcPr>
            <w:tcW w:w="1500" w:type="dxa"/>
            <w:noWrap/>
            <w:hideMark/>
          </w:tcPr>
          <w:p w14:paraId="763C14CE" w14:textId="77777777" w:rsidR="007A159F" w:rsidRPr="00567979" w:rsidRDefault="007A159F" w:rsidP="007A159F">
            <w:pPr>
              <w:jc w:val="center"/>
            </w:pPr>
            <w:r w:rsidRPr="00567979">
              <w:t>35,2 - 36,9</w:t>
            </w:r>
          </w:p>
        </w:tc>
      </w:tr>
      <w:tr w:rsidR="007A159F" w:rsidRPr="00567979" w14:paraId="5FCE27AE" w14:textId="77777777" w:rsidTr="00567979">
        <w:trPr>
          <w:trHeight w:val="320"/>
        </w:trPr>
        <w:tc>
          <w:tcPr>
            <w:tcW w:w="4800" w:type="dxa"/>
            <w:hideMark/>
          </w:tcPr>
          <w:p w14:paraId="19B1A0D4" w14:textId="77777777" w:rsidR="007A159F" w:rsidRPr="00567979" w:rsidRDefault="007A159F" w:rsidP="007A159F">
            <w:pPr>
              <w:jc w:val="both"/>
            </w:pPr>
            <w:r w:rsidRPr="00567979">
              <w:t xml:space="preserve">   Malattie cerebrovascolari</w:t>
            </w:r>
          </w:p>
        </w:tc>
        <w:tc>
          <w:tcPr>
            <w:tcW w:w="1420" w:type="dxa"/>
            <w:hideMark/>
          </w:tcPr>
          <w:p w14:paraId="4E739917" w14:textId="77777777" w:rsidR="007A159F" w:rsidRPr="00567979" w:rsidRDefault="007A159F" w:rsidP="007A159F">
            <w:pPr>
              <w:jc w:val="center"/>
            </w:pPr>
            <w:r w:rsidRPr="00567979">
              <w:t>4.400</w:t>
            </w:r>
          </w:p>
        </w:tc>
        <w:tc>
          <w:tcPr>
            <w:tcW w:w="1420" w:type="dxa"/>
            <w:hideMark/>
          </w:tcPr>
          <w:p w14:paraId="43C4EA69" w14:textId="77777777" w:rsidR="007A159F" w:rsidRPr="00567979" w:rsidRDefault="007A159F" w:rsidP="007A159F">
            <w:pPr>
              <w:jc w:val="center"/>
            </w:pPr>
            <w:r w:rsidRPr="00567979">
              <w:t>14,5</w:t>
            </w:r>
          </w:p>
        </w:tc>
        <w:tc>
          <w:tcPr>
            <w:tcW w:w="1500" w:type="dxa"/>
            <w:noWrap/>
            <w:hideMark/>
          </w:tcPr>
          <w:p w14:paraId="74619CED" w14:textId="77777777" w:rsidR="007A159F" w:rsidRPr="00567979" w:rsidRDefault="007A159F" w:rsidP="007A159F">
            <w:pPr>
              <w:jc w:val="center"/>
            </w:pPr>
            <w:r w:rsidRPr="00567979">
              <w:t>14,0 - 15,0</w:t>
            </w:r>
          </w:p>
        </w:tc>
      </w:tr>
      <w:tr w:rsidR="007A159F" w:rsidRPr="00567979" w14:paraId="598FA258" w14:textId="77777777" w:rsidTr="00567979">
        <w:trPr>
          <w:trHeight w:val="320"/>
        </w:trPr>
        <w:tc>
          <w:tcPr>
            <w:tcW w:w="4800" w:type="dxa"/>
            <w:hideMark/>
          </w:tcPr>
          <w:p w14:paraId="02D53A85" w14:textId="77777777" w:rsidR="007A159F" w:rsidRPr="00567979" w:rsidRDefault="007A159F" w:rsidP="007A159F">
            <w:pPr>
              <w:jc w:val="both"/>
            </w:pPr>
            <w:r w:rsidRPr="00567979">
              <w:t>Malattie del sistema respiratorio</w:t>
            </w:r>
          </w:p>
        </w:tc>
        <w:tc>
          <w:tcPr>
            <w:tcW w:w="1420" w:type="dxa"/>
            <w:hideMark/>
          </w:tcPr>
          <w:p w14:paraId="4932C0E8" w14:textId="77777777" w:rsidR="007A159F" w:rsidRPr="00567979" w:rsidRDefault="007A159F" w:rsidP="007A159F">
            <w:pPr>
              <w:jc w:val="center"/>
            </w:pPr>
            <w:r w:rsidRPr="00567979">
              <w:t>7.056</w:t>
            </w:r>
          </w:p>
        </w:tc>
        <w:tc>
          <w:tcPr>
            <w:tcW w:w="1420" w:type="dxa"/>
            <w:hideMark/>
          </w:tcPr>
          <w:p w14:paraId="3B1F4DCA" w14:textId="77777777" w:rsidR="007A159F" w:rsidRPr="00567979" w:rsidRDefault="007A159F" w:rsidP="007A159F">
            <w:pPr>
              <w:jc w:val="center"/>
            </w:pPr>
            <w:r w:rsidRPr="00567979">
              <w:t>54,1</w:t>
            </w:r>
          </w:p>
        </w:tc>
        <w:tc>
          <w:tcPr>
            <w:tcW w:w="1500" w:type="dxa"/>
            <w:noWrap/>
            <w:hideMark/>
          </w:tcPr>
          <w:p w14:paraId="3AF81021" w14:textId="77777777" w:rsidR="007A159F" w:rsidRPr="00567979" w:rsidRDefault="007A159F" w:rsidP="007A159F">
            <w:pPr>
              <w:jc w:val="center"/>
            </w:pPr>
            <w:r w:rsidRPr="00567979">
              <w:t>52,6 - 55,6</w:t>
            </w:r>
          </w:p>
        </w:tc>
      </w:tr>
      <w:tr w:rsidR="007A159F" w:rsidRPr="00567979" w14:paraId="1697A522" w14:textId="77777777" w:rsidTr="00567979">
        <w:trPr>
          <w:trHeight w:val="320"/>
        </w:trPr>
        <w:tc>
          <w:tcPr>
            <w:tcW w:w="4800" w:type="dxa"/>
            <w:hideMark/>
          </w:tcPr>
          <w:p w14:paraId="7653FA6F" w14:textId="77777777" w:rsidR="007A159F" w:rsidRPr="00567979" w:rsidRDefault="007A159F" w:rsidP="007A159F">
            <w:pPr>
              <w:jc w:val="both"/>
            </w:pPr>
            <w:r w:rsidRPr="00567979">
              <w:t xml:space="preserve">   Malattie respiratorie acute</w:t>
            </w:r>
          </w:p>
        </w:tc>
        <w:tc>
          <w:tcPr>
            <w:tcW w:w="1420" w:type="dxa"/>
            <w:hideMark/>
          </w:tcPr>
          <w:p w14:paraId="0EBB66D1" w14:textId="77777777" w:rsidR="007A159F" w:rsidRPr="00567979" w:rsidRDefault="007A159F" w:rsidP="007A159F">
            <w:pPr>
              <w:jc w:val="center"/>
            </w:pPr>
            <w:r w:rsidRPr="00567979">
              <w:t>2.561</w:t>
            </w:r>
          </w:p>
        </w:tc>
        <w:tc>
          <w:tcPr>
            <w:tcW w:w="1420" w:type="dxa"/>
            <w:hideMark/>
          </w:tcPr>
          <w:p w14:paraId="46642862" w14:textId="77777777" w:rsidR="007A159F" w:rsidRPr="00567979" w:rsidRDefault="007A159F" w:rsidP="007A159F">
            <w:pPr>
              <w:jc w:val="center"/>
            </w:pPr>
            <w:r w:rsidRPr="00567979">
              <w:t>20,3</w:t>
            </w:r>
          </w:p>
        </w:tc>
        <w:tc>
          <w:tcPr>
            <w:tcW w:w="1500" w:type="dxa"/>
            <w:noWrap/>
            <w:hideMark/>
          </w:tcPr>
          <w:p w14:paraId="0B6E03E2" w14:textId="77777777" w:rsidR="007A159F" w:rsidRPr="00567979" w:rsidRDefault="007A159F" w:rsidP="007A159F">
            <w:pPr>
              <w:jc w:val="center"/>
            </w:pPr>
            <w:r w:rsidRPr="00567979">
              <w:t>19,4 - 21,3</w:t>
            </w:r>
          </w:p>
        </w:tc>
      </w:tr>
      <w:tr w:rsidR="007A159F" w:rsidRPr="00567979" w14:paraId="4DC7B053" w14:textId="77777777" w:rsidTr="00567979">
        <w:trPr>
          <w:trHeight w:val="320"/>
        </w:trPr>
        <w:tc>
          <w:tcPr>
            <w:tcW w:w="4800" w:type="dxa"/>
            <w:hideMark/>
          </w:tcPr>
          <w:p w14:paraId="52A6CD63" w14:textId="77777777" w:rsidR="007A159F" w:rsidRPr="00567979" w:rsidRDefault="007A159F" w:rsidP="007A159F">
            <w:pPr>
              <w:jc w:val="both"/>
            </w:pPr>
            <w:r w:rsidRPr="00567979">
              <w:t xml:space="preserve">   Malattie respiratorie croniche</w:t>
            </w:r>
          </w:p>
        </w:tc>
        <w:tc>
          <w:tcPr>
            <w:tcW w:w="1420" w:type="dxa"/>
            <w:hideMark/>
          </w:tcPr>
          <w:p w14:paraId="6422261B" w14:textId="77777777" w:rsidR="007A159F" w:rsidRPr="00567979" w:rsidRDefault="007A159F" w:rsidP="007A159F">
            <w:pPr>
              <w:jc w:val="center"/>
            </w:pPr>
            <w:r w:rsidRPr="00567979">
              <w:t>758</w:t>
            </w:r>
          </w:p>
        </w:tc>
        <w:tc>
          <w:tcPr>
            <w:tcW w:w="1420" w:type="dxa"/>
            <w:hideMark/>
          </w:tcPr>
          <w:p w14:paraId="0D1CBD2B" w14:textId="77777777" w:rsidR="007A159F" w:rsidRPr="00567979" w:rsidRDefault="007A159F" w:rsidP="007A159F">
            <w:pPr>
              <w:jc w:val="center"/>
            </w:pPr>
            <w:r w:rsidRPr="00567979">
              <w:t>2,5</w:t>
            </w:r>
          </w:p>
        </w:tc>
        <w:tc>
          <w:tcPr>
            <w:tcW w:w="1500" w:type="dxa"/>
            <w:noWrap/>
            <w:hideMark/>
          </w:tcPr>
          <w:p w14:paraId="2291C88E" w14:textId="77777777" w:rsidR="007A159F" w:rsidRPr="00567979" w:rsidRDefault="007A159F" w:rsidP="007A159F">
            <w:pPr>
              <w:jc w:val="center"/>
            </w:pPr>
            <w:r w:rsidRPr="00567979">
              <w:t>2,3 - 2,7</w:t>
            </w:r>
          </w:p>
        </w:tc>
      </w:tr>
      <w:tr w:rsidR="007A159F" w:rsidRPr="00567979" w14:paraId="703B1270" w14:textId="77777777" w:rsidTr="00567979">
        <w:trPr>
          <w:trHeight w:val="320"/>
        </w:trPr>
        <w:tc>
          <w:tcPr>
            <w:tcW w:w="4800" w:type="dxa"/>
            <w:hideMark/>
          </w:tcPr>
          <w:p w14:paraId="00C43799" w14:textId="77777777" w:rsidR="007A159F" w:rsidRPr="00567979" w:rsidRDefault="007A159F" w:rsidP="007A159F">
            <w:pPr>
              <w:jc w:val="both"/>
            </w:pPr>
            <w:r w:rsidRPr="00567979">
              <w:t>Malattie dell'apparato digerente</w:t>
            </w:r>
          </w:p>
        </w:tc>
        <w:tc>
          <w:tcPr>
            <w:tcW w:w="1420" w:type="dxa"/>
            <w:hideMark/>
          </w:tcPr>
          <w:p w14:paraId="02959B16" w14:textId="77777777" w:rsidR="007A159F" w:rsidRPr="00567979" w:rsidRDefault="007A159F" w:rsidP="007A159F">
            <w:pPr>
              <w:jc w:val="center"/>
            </w:pPr>
            <w:r w:rsidRPr="00567979">
              <w:t>11.512</w:t>
            </w:r>
          </w:p>
        </w:tc>
        <w:tc>
          <w:tcPr>
            <w:tcW w:w="1420" w:type="dxa"/>
            <w:hideMark/>
          </w:tcPr>
          <w:p w14:paraId="406B5ECE" w14:textId="77777777" w:rsidR="007A159F" w:rsidRPr="00567979" w:rsidRDefault="007A159F" w:rsidP="007A159F">
            <w:pPr>
              <w:jc w:val="center"/>
            </w:pPr>
            <w:r w:rsidRPr="00567979">
              <w:t>74,6</w:t>
            </w:r>
          </w:p>
        </w:tc>
        <w:tc>
          <w:tcPr>
            <w:tcW w:w="1500" w:type="dxa"/>
            <w:noWrap/>
            <w:hideMark/>
          </w:tcPr>
          <w:p w14:paraId="7220D292" w14:textId="77777777" w:rsidR="007A159F" w:rsidRPr="00567979" w:rsidRDefault="007A159F" w:rsidP="007A159F">
            <w:pPr>
              <w:jc w:val="center"/>
            </w:pPr>
            <w:r w:rsidRPr="00567979">
              <w:t>73,0 - 76,2</w:t>
            </w:r>
          </w:p>
        </w:tc>
      </w:tr>
      <w:tr w:rsidR="007A159F" w:rsidRPr="00567979" w14:paraId="411C5393" w14:textId="77777777" w:rsidTr="00567979">
        <w:trPr>
          <w:trHeight w:val="320"/>
        </w:trPr>
        <w:tc>
          <w:tcPr>
            <w:tcW w:w="4800" w:type="dxa"/>
            <w:hideMark/>
          </w:tcPr>
          <w:p w14:paraId="253F4601" w14:textId="77777777" w:rsidR="007A159F" w:rsidRPr="00567979" w:rsidRDefault="007A159F" w:rsidP="007A159F">
            <w:pPr>
              <w:jc w:val="both"/>
            </w:pPr>
            <w:r w:rsidRPr="00567979">
              <w:t>Malattie dell'apparato urinario</w:t>
            </w:r>
          </w:p>
        </w:tc>
        <w:tc>
          <w:tcPr>
            <w:tcW w:w="1420" w:type="dxa"/>
            <w:hideMark/>
          </w:tcPr>
          <w:p w14:paraId="076D5CD3" w14:textId="77777777" w:rsidR="007A159F" w:rsidRPr="00567979" w:rsidRDefault="007A159F" w:rsidP="007A159F">
            <w:pPr>
              <w:jc w:val="center"/>
            </w:pPr>
            <w:r w:rsidRPr="00567979">
              <w:t>2.903</w:t>
            </w:r>
          </w:p>
        </w:tc>
        <w:tc>
          <w:tcPr>
            <w:tcW w:w="1420" w:type="dxa"/>
            <w:hideMark/>
          </w:tcPr>
          <w:p w14:paraId="098EB092" w14:textId="77777777" w:rsidR="007A159F" w:rsidRPr="00567979" w:rsidRDefault="007A159F" w:rsidP="007A159F">
            <w:pPr>
              <w:jc w:val="center"/>
            </w:pPr>
            <w:r w:rsidRPr="00567979">
              <w:t>15,2</w:t>
            </w:r>
          </w:p>
        </w:tc>
        <w:tc>
          <w:tcPr>
            <w:tcW w:w="1500" w:type="dxa"/>
            <w:noWrap/>
            <w:hideMark/>
          </w:tcPr>
          <w:p w14:paraId="42188111" w14:textId="77777777" w:rsidR="007A159F" w:rsidRPr="00567979" w:rsidRDefault="007A159F" w:rsidP="007A159F">
            <w:pPr>
              <w:jc w:val="center"/>
            </w:pPr>
            <w:r w:rsidRPr="00567979">
              <w:t>14,5 - 15,9</w:t>
            </w:r>
          </w:p>
        </w:tc>
      </w:tr>
    </w:tbl>
    <w:p w14:paraId="76BF058A" w14:textId="77777777" w:rsidR="00567979" w:rsidRDefault="00567979" w:rsidP="00567979">
      <w:pPr>
        <w:spacing w:after="0" w:line="240" w:lineRule="auto"/>
        <w:jc w:val="both"/>
        <w:rPr>
          <w:b/>
        </w:rPr>
      </w:pPr>
    </w:p>
    <w:p w14:paraId="194488DB" w14:textId="77777777" w:rsidR="00567979" w:rsidRPr="00567979" w:rsidRDefault="00567979" w:rsidP="00567979">
      <w:pPr>
        <w:spacing w:after="0" w:line="240" w:lineRule="auto"/>
        <w:jc w:val="both"/>
        <w:rPr>
          <w:b/>
        </w:rPr>
      </w:pPr>
    </w:p>
    <w:p w14:paraId="7542E7A3" w14:textId="77777777" w:rsidR="007A159F" w:rsidRPr="00567979" w:rsidRDefault="007A159F" w:rsidP="007A159F">
      <w:pPr>
        <w:spacing w:after="0" w:line="240" w:lineRule="auto"/>
        <w:jc w:val="both"/>
        <w:rPr>
          <w:b/>
        </w:rPr>
      </w:pPr>
      <w:r>
        <w:rPr>
          <w:b/>
        </w:rPr>
        <w:t xml:space="preserve">Tabella 5. </w:t>
      </w:r>
      <w:r w:rsidRPr="00567979">
        <w:rPr>
          <w:b/>
        </w:rPr>
        <w:t>Ricoverati 2006-2016; numero casi, tassi standardizzati per età X 10.000 abitanti con IC95%</w:t>
      </w:r>
    </w:p>
    <w:p w14:paraId="22BD4D41" w14:textId="77777777" w:rsidR="007A159F" w:rsidRDefault="007A159F" w:rsidP="007A159F">
      <w:pPr>
        <w:spacing w:after="0" w:line="240" w:lineRule="auto"/>
        <w:jc w:val="both"/>
        <w:rPr>
          <w:b/>
        </w:rPr>
      </w:pPr>
      <w:r>
        <w:rPr>
          <w:b/>
        </w:rPr>
        <w:t>Provincia di Isernia</w:t>
      </w:r>
      <w:r w:rsidRPr="00567979">
        <w:rPr>
          <w:b/>
        </w:rPr>
        <w:t>, Uomini.</w:t>
      </w:r>
    </w:p>
    <w:tbl>
      <w:tblPr>
        <w:tblStyle w:val="Grigliatabella"/>
        <w:tblW w:w="0" w:type="auto"/>
        <w:tblLook w:val="04A0" w:firstRow="1" w:lastRow="0" w:firstColumn="1" w:lastColumn="0" w:noHBand="0" w:noVBand="1"/>
      </w:tblPr>
      <w:tblGrid>
        <w:gridCol w:w="4800"/>
        <w:gridCol w:w="1420"/>
        <w:gridCol w:w="1420"/>
        <w:gridCol w:w="1500"/>
      </w:tblGrid>
      <w:tr w:rsidR="007A159F" w:rsidRPr="007A159F" w14:paraId="410C21BE" w14:textId="77777777" w:rsidTr="005A5B4B">
        <w:trPr>
          <w:trHeight w:val="480"/>
        </w:trPr>
        <w:tc>
          <w:tcPr>
            <w:tcW w:w="4800" w:type="dxa"/>
            <w:vAlign w:val="center"/>
            <w:hideMark/>
          </w:tcPr>
          <w:p w14:paraId="534985F6"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46A515EB" w14:textId="77777777" w:rsidR="007A159F" w:rsidRPr="007A159F" w:rsidRDefault="007A159F" w:rsidP="007A159F">
            <w:pPr>
              <w:jc w:val="center"/>
              <w:rPr>
                <w:b/>
                <w:bCs/>
              </w:rPr>
            </w:pPr>
            <w:r w:rsidRPr="007A159F">
              <w:rPr>
                <w:b/>
                <w:bCs/>
              </w:rPr>
              <w:t>N</w:t>
            </w:r>
          </w:p>
        </w:tc>
        <w:tc>
          <w:tcPr>
            <w:tcW w:w="1420" w:type="dxa"/>
            <w:vAlign w:val="center"/>
            <w:hideMark/>
          </w:tcPr>
          <w:p w14:paraId="4646B342"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2157D17B" w14:textId="77777777" w:rsidR="007A159F" w:rsidRPr="007A159F" w:rsidRDefault="007A159F" w:rsidP="007A159F">
            <w:pPr>
              <w:jc w:val="center"/>
              <w:rPr>
                <w:b/>
                <w:bCs/>
              </w:rPr>
            </w:pPr>
            <w:r w:rsidRPr="007A159F">
              <w:rPr>
                <w:b/>
                <w:bCs/>
              </w:rPr>
              <w:t>IC95%</w:t>
            </w:r>
          </w:p>
        </w:tc>
      </w:tr>
      <w:tr w:rsidR="007A159F" w:rsidRPr="007A159F" w14:paraId="4A96EAC2" w14:textId="77777777" w:rsidTr="007A159F">
        <w:trPr>
          <w:trHeight w:val="310"/>
        </w:trPr>
        <w:tc>
          <w:tcPr>
            <w:tcW w:w="4800" w:type="dxa"/>
            <w:hideMark/>
          </w:tcPr>
          <w:p w14:paraId="0977497F" w14:textId="77777777" w:rsidR="007A159F" w:rsidRPr="007A159F" w:rsidRDefault="007A159F" w:rsidP="007A159F">
            <w:pPr>
              <w:jc w:val="both"/>
            </w:pPr>
            <w:r w:rsidRPr="007A159F">
              <w:t>Tutti i tumori maligni</w:t>
            </w:r>
          </w:p>
        </w:tc>
        <w:tc>
          <w:tcPr>
            <w:tcW w:w="1420" w:type="dxa"/>
            <w:hideMark/>
          </w:tcPr>
          <w:p w14:paraId="404B4DF3" w14:textId="77777777" w:rsidR="007A159F" w:rsidRPr="007A159F" w:rsidRDefault="007A159F" w:rsidP="007A159F">
            <w:pPr>
              <w:jc w:val="center"/>
            </w:pPr>
            <w:r w:rsidRPr="007A159F">
              <w:t>2.506</w:t>
            </w:r>
          </w:p>
        </w:tc>
        <w:tc>
          <w:tcPr>
            <w:tcW w:w="1420" w:type="dxa"/>
            <w:hideMark/>
          </w:tcPr>
          <w:p w14:paraId="23FA41B0" w14:textId="77777777" w:rsidR="007A159F" w:rsidRPr="007A159F" w:rsidRDefault="007A159F" w:rsidP="007A159F">
            <w:pPr>
              <w:jc w:val="center"/>
            </w:pPr>
            <w:r w:rsidRPr="007A159F">
              <w:t>35,0</w:t>
            </w:r>
          </w:p>
        </w:tc>
        <w:tc>
          <w:tcPr>
            <w:tcW w:w="1500" w:type="dxa"/>
            <w:noWrap/>
            <w:hideMark/>
          </w:tcPr>
          <w:p w14:paraId="52B6D1AE" w14:textId="77777777" w:rsidR="007A159F" w:rsidRPr="007A159F" w:rsidRDefault="007A159F" w:rsidP="007A159F">
            <w:pPr>
              <w:jc w:val="center"/>
            </w:pPr>
            <w:r w:rsidRPr="007A159F">
              <w:t>33,5 - 36,4</w:t>
            </w:r>
          </w:p>
        </w:tc>
      </w:tr>
      <w:tr w:rsidR="007A159F" w:rsidRPr="007A159F" w14:paraId="460FA72D" w14:textId="77777777" w:rsidTr="007A159F">
        <w:trPr>
          <w:trHeight w:val="310"/>
        </w:trPr>
        <w:tc>
          <w:tcPr>
            <w:tcW w:w="4800" w:type="dxa"/>
            <w:hideMark/>
          </w:tcPr>
          <w:p w14:paraId="1AB8F98F" w14:textId="77777777" w:rsidR="007A159F" w:rsidRPr="007A159F" w:rsidRDefault="007A159F" w:rsidP="007A159F">
            <w:pPr>
              <w:jc w:val="both"/>
            </w:pPr>
            <w:r w:rsidRPr="007A159F">
              <w:t xml:space="preserve">   Tumore del polmone</w:t>
            </w:r>
          </w:p>
        </w:tc>
        <w:tc>
          <w:tcPr>
            <w:tcW w:w="1420" w:type="dxa"/>
            <w:hideMark/>
          </w:tcPr>
          <w:p w14:paraId="454A97B3" w14:textId="77777777" w:rsidR="007A159F" w:rsidRPr="007A159F" w:rsidRDefault="007A159F" w:rsidP="007A159F">
            <w:pPr>
              <w:jc w:val="center"/>
            </w:pPr>
            <w:r w:rsidRPr="007A159F">
              <w:t>266</w:t>
            </w:r>
          </w:p>
        </w:tc>
        <w:tc>
          <w:tcPr>
            <w:tcW w:w="1420" w:type="dxa"/>
            <w:hideMark/>
          </w:tcPr>
          <w:p w14:paraId="59AA8312" w14:textId="77777777" w:rsidR="007A159F" w:rsidRPr="007A159F" w:rsidRDefault="007A159F" w:rsidP="007A159F">
            <w:pPr>
              <w:jc w:val="center"/>
            </w:pPr>
            <w:r w:rsidRPr="007A159F">
              <w:t>3,6</w:t>
            </w:r>
          </w:p>
        </w:tc>
        <w:tc>
          <w:tcPr>
            <w:tcW w:w="1500" w:type="dxa"/>
            <w:noWrap/>
            <w:hideMark/>
          </w:tcPr>
          <w:p w14:paraId="7D732998" w14:textId="77777777" w:rsidR="007A159F" w:rsidRPr="007A159F" w:rsidRDefault="007A159F" w:rsidP="007A159F">
            <w:pPr>
              <w:jc w:val="center"/>
            </w:pPr>
            <w:r w:rsidRPr="007A159F">
              <w:t>3,2 - 4,1</w:t>
            </w:r>
          </w:p>
        </w:tc>
      </w:tr>
      <w:tr w:rsidR="007A159F" w:rsidRPr="007A159F" w14:paraId="149070E9" w14:textId="77777777" w:rsidTr="007A159F">
        <w:trPr>
          <w:trHeight w:val="310"/>
        </w:trPr>
        <w:tc>
          <w:tcPr>
            <w:tcW w:w="4800" w:type="dxa"/>
            <w:hideMark/>
          </w:tcPr>
          <w:p w14:paraId="618D4608" w14:textId="77777777" w:rsidR="007A159F" w:rsidRPr="007A159F" w:rsidRDefault="007A159F" w:rsidP="007A159F">
            <w:pPr>
              <w:jc w:val="both"/>
            </w:pPr>
            <w:r w:rsidRPr="007A159F">
              <w:t>Malattie del sistema circolatorio</w:t>
            </w:r>
          </w:p>
        </w:tc>
        <w:tc>
          <w:tcPr>
            <w:tcW w:w="1420" w:type="dxa"/>
            <w:hideMark/>
          </w:tcPr>
          <w:p w14:paraId="03C49533" w14:textId="77777777" w:rsidR="007A159F" w:rsidRPr="007A159F" w:rsidRDefault="007A159F" w:rsidP="007A159F">
            <w:pPr>
              <w:jc w:val="center"/>
            </w:pPr>
            <w:r w:rsidRPr="007A159F">
              <w:t>6.826</w:t>
            </w:r>
          </w:p>
        </w:tc>
        <w:tc>
          <w:tcPr>
            <w:tcW w:w="1420" w:type="dxa"/>
            <w:hideMark/>
          </w:tcPr>
          <w:p w14:paraId="279C7569" w14:textId="77777777" w:rsidR="007A159F" w:rsidRPr="007A159F" w:rsidRDefault="007A159F" w:rsidP="007A159F">
            <w:pPr>
              <w:jc w:val="center"/>
            </w:pPr>
            <w:r w:rsidRPr="007A159F">
              <w:t>96,3</w:t>
            </w:r>
          </w:p>
        </w:tc>
        <w:tc>
          <w:tcPr>
            <w:tcW w:w="1500" w:type="dxa"/>
            <w:noWrap/>
            <w:hideMark/>
          </w:tcPr>
          <w:p w14:paraId="3850F33E" w14:textId="77777777" w:rsidR="007A159F" w:rsidRPr="007A159F" w:rsidRDefault="007A159F" w:rsidP="007A159F">
            <w:pPr>
              <w:jc w:val="center"/>
            </w:pPr>
            <w:r w:rsidRPr="007A159F">
              <w:t>93,9 - 98,8</w:t>
            </w:r>
          </w:p>
        </w:tc>
      </w:tr>
      <w:tr w:rsidR="007A159F" w:rsidRPr="007A159F" w14:paraId="79ACFD2D" w14:textId="77777777" w:rsidTr="007A159F">
        <w:trPr>
          <w:trHeight w:val="310"/>
        </w:trPr>
        <w:tc>
          <w:tcPr>
            <w:tcW w:w="4800" w:type="dxa"/>
            <w:hideMark/>
          </w:tcPr>
          <w:p w14:paraId="044856E4" w14:textId="77777777" w:rsidR="007A159F" w:rsidRPr="007A159F" w:rsidRDefault="007A159F" w:rsidP="007A159F">
            <w:pPr>
              <w:jc w:val="both"/>
            </w:pPr>
            <w:r w:rsidRPr="007A159F">
              <w:t xml:space="preserve">   Malattie cardiache</w:t>
            </w:r>
          </w:p>
        </w:tc>
        <w:tc>
          <w:tcPr>
            <w:tcW w:w="1420" w:type="dxa"/>
            <w:hideMark/>
          </w:tcPr>
          <w:p w14:paraId="663A1DCD" w14:textId="77777777" w:rsidR="007A159F" w:rsidRPr="007A159F" w:rsidRDefault="007A159F" w:rsidP="007A159F">
            <w:pPr>
              <w:jc w:val="center"/>
            </w:pPr>
            <w:r w:rsidRPr="007A159F">
              <w:t>4.604</w:t>
            </w:r>
          </w:p>
        </w:tc>
        <w:tc>
          <w:tcPr>
            <w:tcW w:w="1420" w:type="dxa"/>
            <w:hideMark/>
          </w:tcPr>
          <w:p w14:paraId="5E962B6B" w14:textId="77777777" w:rsidR="007A159F" w:rsidRPr="007A159F" w:rsidRDefault="007A159F" w:rsidP="007A159F">
            <w:pPr>
              <w:jc w:val="center"/>
            </w:pPr>
            <w:r w:rsidRPr="007A159F">
              <w:t>63,3</w:t>
            </w:r>
          </w:p>
        </w:tc>
        <w:tc>
          <w:tcPr>
            <w:tcW w:w="1500" w:type="dxa"/>
            <w:noWrap/>
            <w:hideMark/>
          </w:tcPr>
          <w:p w14:paraId="420CA1EE" w14:textId="77777777" w:rsidR="007A159F" w:rsidRPr="007A159F" w:rsidRDefault="007A159F" w:rsidP="007A159F">
            <w:pPr>
              <w:jc w:val="center"/>
            </w:pPr>
            <w:r w:rsidRPr="007A159F">
              <w:t>61,3 - 65,2</w:t>
            </w:r>
          </w:p>
        </w:tc>
      </w:tr>
      <w:tr w:rsidR="007A159F" w:rsidRPr="007A159F" w14:paraId="626B0F87" w14:textId="77777777" w:rsidTr="007A159F">
        <w:trPr>
          <w:trHeight w:val="310"/>
        </w:trPr>
        <w:tc>
          <w:tcPr>
            <w:tcW w:w="4800" w:type="dxa"/>
            <w:hideMark/>
          </w:tcPr>
          <w:p w14:paraId="7C799FC1" w14:textId="77777777" w:rsidR="007A159F" w:rsidRPr="007A159F" w:rsidRDefault="007A159F" w:rsidP="007A159F">
            <w:pPr>
              <w:jc w:val="both"/>
            </w:pPr>
            <w:r w:rsidRPr="007A159F">
              <w:t xml:space="preserve">   Malattie cerebrovascolari</w:t>
            </w:r>
          </w:p>
        </w:tc>
        <w:tc>
          <w:tcPr>
            <w:tcW w:w="1420" w:type="dxa"/>
            <w:hideMark/>
          </w:tcPr>
          <w:p w14:paraId="60F2AB6B" w14:textId="77777777" w:rsidR="007A159F" w:rsidRPr="007A159F" w:rsidRDefault="007A159F" w:rsidP="007A159F">
            <w:pPr>
              <w:jc w:val="center"/>
            </w:pPr>
            <w:r w:rsidRPr="007A159F">
              <w:t>2.247</w:t>
            </w:r>
          </w:p>
        </w:tc>
        <w:tc>
          <w:tcPr>
            <w:tcW w:w="1420" w:type="dxa"/>
            <w:hideMark/>
          </w:tcPr>
          <w:p w14:paraId="58A70EE5" w14:textId="77777777" w:rsidR="007A159F" w:rsidRPr="007A159F" w:rsidRDefault="007A159F" w:rsidP="007A159F">
            <w:pPr>
              <w:jc w:val="center"/>
            </w:pPr>
            <w:r w:rsidRPr="007A159F">
              <w:t>27,3</w:t>
            </w:r>
          </w:p>
        </w:tc>
        <w:tc>
          <w:tcPr>
            <w:tcW w:w="1500" w:type="dxa"/>
            <w:noWrap/>
            <w:hideMark/>
          </w:tcPr>
          <w:p w14:paraId="1BF35E08" w14:textId="77777777" w:rsidR="007A159F" w:rsidRPr="007A159F" w:rsidRDefault="007A159F" w:rsidP="007A159F">
            <w:pPr>
              <w:jc w:val="center"/>
            </w:pPr>
            <w:r w:rsidRPr="007A159F">
              <w:t>26,1 - 28,5</w:t>
            </w:r>
          </w:p>
        </w:tc>
      </w:tr>
      <w:tr w:rsidR="007A159F" w:rsidRPr="007A159F" w14:paraId="44F15DCD" w14:textId="77777777" w:rsidTr="007A159F">
        <w:trPr>
          <w:trHeight w:val="310"/>
        </w:trPr>
        <w:tc>
          <w:tcPr>
            <w:tcW w:w="4800" w:type="dxa"/>
            <w:hideMark/>
          </w:tcPr>
          <w:p w14:paraId="403F97D8" w14:textId="77777777" w:rsidR="007A159F" w:rsidRPr="007A159F" w:rsidRDefault="007A159F" w:rsidP="007A159F">
            <w:pPr>
              <w:jc w:val="both"/>
            </w:pPr>
            <w:r w:rsidRPr="007A159F">
              <w:t>Malattie del sistema respiratorio</w:t>
            </w:r>
          </w:p>
        </w:tc>
        <w:tc>
          <w:tcPr>
            <w:tcW w:w="1420" w:type="dxa"/>
            <w:hideMark/>
          </w:tcPr>
          <w:p w14:paraId="62B0FF3A" w14:textId="77777777" w:rsidR="007A159F" w:rsidRPr="007A159F" w:rsidRDefault="007A159F" w:rsidP="007A159F">
            <w:pPr>
              <w:jc w:val="center"/>
            </w:pPr>
            <w:r w:rsidRPr="007A159F">
              <w:t>3.926</w:t>
            </w:r>
          </w:p>
        </w:tc>
        <w:tc>
          <w:tcPr>
            <w:tcW w:w="1420" w:type="dxa"/>
            <w:hideMark/>
          </w:tcPr>
          <w:p w14:paraId="3B3C3208" w14:textId="77777777" w:rsidR="007A159F" w:rsidRPr="007A159F" w:rsidRDefault="007A159F" w:rsidP="007A159F">
            <w:pPr>
              <w:jc w:val="center"/>
            </w:pPr>
            <w:r w:rsidRPr="007A159F">
              <w:t>79,1</w:t>
            </w:r>
          </w:p>
        </w:tc>
        <w:tc>
          <w:tcPr>
            <w:tcW w:w="1500" w:type="dxa"/>
            <w:noWrap/>
            <w:hideMark/>
          </w:tcPr>
          <w:p w14:paraId="0F582E35" w14:textId="77777777" w:rsidR="007A159F" w:rsidRPr="007A159F" w:rsidRDefault="007A159F" w:rsidP="007A159F">
            <w:pPr>
              <w:jc w:val="center"/>
            </w:pPr>
            <w:r w:rsidRPr="007A159F">
              <w:t>76,3 - 82,1</w:t>
            </w:r>
          </w:p>
        </w:tc>
      </w:tr>
      <w:tr w:rsidR="007A159F" w:rsidRPr="007A159F" w14:paraId="0A75D313" w14:textId="77777777" w:rsidTr="007A159F">
        <w:trPr>
          <w:trHeight w:val="310"/>
        </w:trPr>
        <w:tc>
          <w:tcPr>
            <w:tcW w:w="4800" w:type="dxa"/>
            <w:hideMark/>
          </w:tcPr>
          <w:p w14:paraId="7AA8644D" w14:textId="77777777" w:rsidR="007A159F" w:rsidRPr="007A159F" w:rsidRDefault="007A159F" w:rsidP="007A159F">
            <w:pPr>
              <w:jc w:val="both"/>
            </w:pPr>
            <w:r w:rsidRPr="007A159F">
              <w:t xml:space="preserve">   Malattie respiratorie acute</w:t>
            </w:r>
          </w:p>
        </w:tc>
        <w:tc>
          <w:tcPr>
            <w:tcW w:w="1420" w:type="dxa"/>
            <w:hideMark/>
          </w:tcPr>
          <w:p w14:paraId="291CCE38" w14:textId="77777777" w:rsidR="007A159F" w:rsidRPr="007A159F" w:rsidRDefault="007A159F" w:rsidP="007A159F">
            <w:pPr>
              <w:jc w:val="center"/>
            </w:pPr>
            <w:r w:rsidRPr="007A159F">
              <w:t>1.381</w:t>
            </w:r>
          </w:p>
        </w:tc>
        <w:tc>
          <w:tcPr>
            <w:tcW w:w="1420" w:type="dxa"/>
            <w:hideMark/>
          </w:tcPr>
          <w:p w14:paraId="511FF1B7" w14:textId="77777777" w:rsidR="007A159F" w:rsidRPr="007A159F" w:rsidRDefault="007A159F" w:rsidP="007A159F">
            <w:pPr>
              <w:jc w:val="center"/>
            </w:pPr>
            <w:r w:rsidRPr="007A159F">
              <w:t>29,5</w:t>
            </w:r>
          </w:p>
        </w:tc>
        <w:tc>
          <w:tcPr>
            <w:tcW w:w="1500" w:type="dxa"/>
            <w:noWrap/>
            <w:hideMark/>
          </w:tcPr>
          <w:p w14:paraId="5188DC3C" w14:textId="77777777" w:rsidR="007A159F" w:rsidRPr="007A159F" w:rsidRDefault="007A159F" w:rsidP="007A159F">
            <w:pPr>
              <w:jc w:val="center"/>
            </w:pPr>
            <w:r w:rsidRPr="007A159F">
              <w:t>27,7 - 31,4</w:t>
            </w:r>
          </w:p>
        </w:tc>
      </w:tr>
      <w:tr w:rsidR="007A159F" w:rsidRPr="007A159F" w14:paraId="26219DA3" w14:textId="77777777" w:rsidTr="007A159F">
        <w:trPr>
          <w:trHeight w:val="320"/>
        </w:trPr>
        <w:tc>
          <w:tcPr>
            <w:tcW w:w="4800" w:type="dxa"/>
            <w:hideMark/>
          </w:tcPr>
          <w:p w14:paraId="652F3B3E" w14:textId="77777777" w:rsidR="007A159F" w:rsidRPr="007A159F" w:rsidRDefault="007A159F" w:rsidP="007A159F">
            <w:pPr>
              <w:jc w:val="both"/>
            </w:pPr>
            <w:r w:rsidRPr="007A159F">
              <w:t xml:space="preserve">   Malattie respiratorie croniche</w:t>
            </w:r>
          </w:p>
        </w:tc>
        <w:tc>
          <w:tcPr>
            <w:tcW w:w="1420" w:type="dxa"/>
            <w:hideMark/>
          </w:tcPr>
          <w:p w14:paraId="6000B454" w14:textId="77777777" w:rsidR="007A159F" w:rsidRPr="007A159F" w:rsidRDefault="007A159F" w:rsidP="007A159F">
            <w:pPr>
              <w:jc w:val="center"/>
            </w:pPr>
            <w:r w:rsidRPr="007A159F">
              <w:t>527</w:t>
            </w:r>
          </w:p>
        </w:tc>
        <w:tc>
          <w:tcPr>
            <w:tcW w:w="1420" w:type="dxa"/>
            <w:hideMark/>
          </w:tcPr>
          <w:p w14:paraId="1612EF8E" w14:textId="77777777" w:rsidR="007A159F" w:rsidRPr="007A159F" w:rsidRDefault="007A159F" w:rsidP="007A159F">
            <w:pPr>
              <w:jc w:val="center"/>
            </w:pPr>
            <w:r w:rsidRPr="007A159F">
              <w:t>6,0</w:t>
            </w:r>
          </w:p>
        </w:tc>
        <w:tc>
          <w:tcPr>
            <w:tcW w:w="1500" w:type="dxa"/>
            <w:noWrap/>
            <w:hideMark/>
          </w:tcPr>
          <w:p w14:paraId="6F7CE9C8" w14:textId="77777777" w:rsidR="007A159F" w:rsidRPr="007A159F" w:rsidRDefault="007A159F" w:rsidP="007A159F">
            <w:pPr>
              <w:jc w:val="center"/>
            </w:pPr>
            <w:r w:rsidRPr="007A159F">
              <w:t>5,5 - 6,6</w:t>
            </w:r>
          </w:p>
        </w:tc>
      </w:tr>
      <w:tr w:rsidR="007A159F" w:rsidRPr="007A159F" w14:paraId="054AB4BE" w14:textId="77777777" w:rsidTr="007A159F">
        <w:trPr>
          <w:trHeight w:val="310"/>
        </w:trPr>
        <w:tc>
          <w:tcPr>
            <w:tcW w:w="4800" w:type="dxa"/>
            <w:hideMark/>
          </w:tcPr>
          <w:p w14:paraId="72A932FB" w14:textId="77777777" w:rsidR="007A159F" w:rsidRPr="007A159F" w:rsidRDefault="007A159F" w:rsidP="007A159F">
            <w:pPr>
              <w:jc w:val="both"/>
            </w:pPr>
            <w:r w:rsidRPr="007A159F">
              <w:t>Malattie dell'apparato digerente</w:t>
            </w:r>
          </w:p>
        </w:tc>
        <w:tc>
          <w:tcPr>
            <w:tcW w:w="1420" w:type="dxa"/>
            <w:hideMark/>
          </w:tcPr>
          <w:p w14:paraId="6015ACEF" w14:textId="77777777" w:rsidR="007A159F" w:rsidRPr="007A159F" w:rsidRDefault="007A159F" w:rsidP="007A159F">
            <w:pPr>
              <w:jc w:val="center"/>
            </w:pPr>
            <w:r w:rsidRPr="007A159F">
              <w:t>4.902</w:t>
            </w:r>
          </w:p>
        </w:tc>
        <w:tc>
          <w:tcPr>
            <w:tcW w:w="1420" w:type="dxa"/>
            <w:hideMark/>
          </w:tcPr>
          <w:p w14:paraId="3A984070" w14:textId="77777777" w:rsidR="007A159F" w:rsidRPr="007A159F" w:rsidRDefault="007A159F" w:rsidP="007A159F">
            <w:pPr>
              <w:jc w:val="center"/>
            </w:pPr>
            <w:r w:rsidRPr="007A159F">
              <w:t>86,2</w:t>
            </w:r>
          </w:p>
        </w:tc>
        <w:tc>
          <w:tcPr>
            <w:tcW w:w="1500" w:type="dxa"/>
            <w:noWrap/>
            <w:hideMark/>
          </w:tcPr>
          <w:p w14:paraId="7DECECF0" w14:textId="77777777" w:rsidR="007A159F" w:rsidRPr="007A159F" w:rsidRDefault="007A159F" w:rsidP="007A159F">
            <w:pPr>
              <w:jc w:val="center"/>
            </w:pPr>
            <w:r w:rsidRPr="007A159F">
              <w:t>83,6 - 88,9</w:t>
            </w:r>
          </w:p>
        </w:tc>
      </w:tr>
      <w:tr w:rsidR="007A159F" w:rsidRPr="007A159F" w14:paraId="0F0B0446" w14:textId="77777777" w:rsidTr="007A159F">
        <w:trPr>
          <w:trHeight w:val="310"/>
        </w:trPr>
        <w:tc>
          <w:tcPr>
            <w:tcW w:w="4800" w:type="dxa"/>
            <w:hideMark/>
          </w:tcPr>
          <w:p w14:paraId="1E0492C0" w14:textId="77777777" w:rsidR="007A159F" w:rsidRPr="007A159F" w:rsidRDefault="007A159F" w:rsidP="007A159F">
            <w:pPr>
              <w:jc w:val="both"/>
            </w:pPr>
            <w:r w:rsidRPr="007A159F">
              <w:t>Malattie dell'apparato urinario</w:t>
            </w:r>
          </w:p>
        </w:tc>
        <w:tc>
          <w:tcPr>
            <w:tcW w:w="1420" w:type="dxa"/>
            <w:hideMark/>
          </w:tcPr>
          <w:p w14:paraId="307E8C4B" w14:textId="77777777" w:rsidR="007A159F" w:rsidRPr="007A159F" w:rsidRDefault="007A159F" w:rsidP="007A159F">
            <w:pPr>
              <w:jc w:val="center"/>
            </w:pPr>
            <w:r w:rsidRPr="007A159F">
              <w:t>1.248</w:t>
            </w:r>
          </w:p>
        </w:tc>
        <w:tc>
          <w:tcPr>
            <w:tcW w:w="1420" w:type="dxa"/>
            <w:hideMark/>
          </w:tcPr>
          <w:p w14:paraId="01D8EA19" w14:textId="77777777" w:rsidR="007A159F" w:rsidRPr="007A159F" w:rsidRDefault="007A159F" w:rsidP="007A159F">
            <w:pPr>
              <w:jc w:val="center"/>
            </w:pPr>
            <w:r w:rsidRPr="007A159F">
              <w:t>19,0</w:t>
            </w:r>
          </w:p>
        </w:tc>
        <w:tc>
          <w:tcPr>
            <w:tcW w:w="1500" w:type="dxa"/>
            <w:noWrap/>
            <w:hideMark/>
          </w:tcPr>
          <w:p w14:paraId="7999742E" w14:textId="77777777" w:rsidR="007A159F" w:rsidRPr="007A159F" w:rsidRDefault="007A159F" w:rsidP="007A159F">
            <w:pPr>
              <w:jc w:val="center"/>
            </w:pPr>
            <w:r w:rsidRPr="007A159F">
              <w:t>17,9 - 20,2</w:t>
            </w:r>
          </w:p>
        </w:tc>
      </w:tr>
    </w:tbl>
    <w:p w14:paraId="34AFA9B4" w14:textId="77777777" w:rsidR="00567979" w:rsidRDefault="00567979" w:rsidP="00334DC3">
      <w:pPr>
        <w:jc w:val="both"/>
      </w:pPr>
    </w:p>
    <w:p w14:paraId="520E21AD" w14:textId="77777777" w:rsidR="007A159F" w:rsidRPr="00567979" w:rsidRDefault="007A159F" w:rsidP="007A159F">
      <w:pPr>
        <w:spacing w:after="0" w:line="240" w:lineRule="auto"/>
        <w:jc w:val="both"/>
        <w:rPr>
          <w:b/>
        </w:rPr>
      </w:pPr>
      <w:r>
        <w:rPr>
          <w:b/>
        </w:rPr>
        <w:t xml:space="preserve">Tabella 6. </w:t>
      </w:r>
      <w:r w:rsidRPr="00567979">
        <w:rPr>
          <w:b/>
        </w:rPr>
        <w:t>Ricoverati 2006-2016; numero casi, tassi standardizzati per età X 10.000 abitanti con IC95%</w:t>
      </w:r>
    </w:p>
    <w:p w14:paraId="032EC809" w14:textId="77777777" w:rsidR="007A159F" w:rsidRDefault="007A159F" w:rsidP="007A159F">
      <w:pPr>
        <w:spacing w:after="0" w:line="240" w:lineRule="auto"/>
        <w:jc w:val="both"/>
        <w:rPr>
          <w:b/>
        </w:rPr>
      </w:pPr>
      <w:r>
        <w:rPr>
          <w:b/>
        </w:rPr>
        <w:t>Provincia di Isernia</w:t>
      </w:r>
      <w:r w:rsidRPr="00567979">
        <w:rPr>
          <w:b/>
        </w:rPr>
        <w:t xml:space="preserve">, </w:t>
      </w:r>
      <w:r>
        <w:rPr>
          <w:b/>
        </w:rPr>
        <w:t>Donne</w:t>
      </w:r>
      <w:r w:rsidRPr="00567979">
        <w:rPr>
          <w:b/>
        </w:rPr>
        <w:t>.</w:t>
      </w:r>
    </w:p>
    <w:tbl>
      <w:tblPr>
        <w:tblStyle w:val="Grigliatabella"/>
        <w:tblW w:w="0" w:type="auto"/>
        <w:tblLook w:val="04A0" w:firstRow="1" w:lastRow="0" w:firstColumn="1" w:lastColumn="0" w:noHBand="0" w:noVBand="1"/>
      </w:tblPr>
      <w:tblGrid>
        <w:gridCol w:w="4800"/>
        <w:gridCol w:w="1420"/>
        <w:gridCol w:w="1420"/>
        <w:gridCol w:w="1500"/>
      </w:tblGrid>
      <w:tr w:rsidR="007A159F" w:rsidRPr="007A159F" w14:paraId="7E9883F2" w14:textId="77777777" w:rsidTr="007A159F">
        <w:trPr>
          <w:trHeight w:val="480"/>
        </w:trPr>
        <w:tc>
          <w:tcPr>
            <w:tcW w:w="4800" w:type="dxa"/>
            <w:vAlign w:val="center"/>
            <w:hideMark/>
          </w:tcPr>
          <w:p w14:paraId="34BCC11C" w14:textId="77777777" w:rsidR="007A159F" w:rsidRPr="007A159F" w:rsidRDefault="007A159F" w:rsidP="007A159F">
            <w:pPr>
              <w:rPr>
                <w:b/>
                <w:bCs/>
              </w:rPr>
            </w:pPr>
            <w:r w:rsidRPr="007A159F">
              <w:rPr>
                <w:rFonts w:eastAsia="Times New Roman" w:cstheme="minorHAnsi"/>
                <w:b/>
                <w:bCs/>
                <w:lang w:eastAsia="it-IT"/>
              </w:rPr>
              <w:t>Causa</w:t>
            </w:r>
          </w:p>
        </w:tc>
        <w:tc>
          <w:tcPr>
            <w:tcW w:w="1420" w:type="dxa"/>
            <w:vAlign w:val="center"/>
            <w:hideMark/>
          </w:tcPr>
          <w:p w14:paraId="48491FB9" w14:textId="77777777" w:rsidR="007A159F" w:rsidRPr="007A159F" w:rsidRDefault="007A159F" w:rsidP="007A159F">
            <w:pPr>
              <w:jc w:val="center"/>
              <w:rPr>
                <w:b/>
                <w:bCs/>
              </w:rPr>
            </w:pPr>
            <w:r w:rsidRPr="007A159F">
              <w:rPr>
                <w:b/>
                <w:bCs/>
              </w:rPr>
              <w:t>N</w:t>
            </w:r>
          </w:p>
        </w:tc>
        <w:tc>
          <w:tcPr>
            <w:tcW w:w="1420" w:type="dxa"/>
            <w:vAlign w:val="center"/>
            <w:hideMark/>
          </w:tcPr>
          <w:p w14:paraId="3852D0CD" w14:textId="77777777" w:rsidR="007A159F" w:rsidRPr="007A159F" w:rsidRDefault="007A159F" w:rsidP="007A159F">
            <w:pPr>
              <w:jc w:val="center"/>
              <w:rPr>
                <w:b/>
                <w:bCs/>
              </w:rPr>
            </w:pPr>
            <w:r w:rsidRPr="007A159F">
              <w:rPr>
                <w:b/>
                <w:bCs/>
              </w:rPr>
              <w:t xml:space="preserve">Tasso </w:t>
            </w:r>
            <w:proofErr w:type="spellStart"/>
            <w:r w:rsidRPr="007A159F">
              <w:rPr>
                <w:b/>
                <w:bCs/>
              </w:rPr>
              <w:t>std</w:t>
            </w:r>
            <w:proofErr w:type="spellEnd"/>
          </w:p>
        </w:tc>
        <w:tc>
          <w:tcPr>
            <w:tcW w:w="1500" w:type="dxa"/>
            <w:vAlign w:val="center"/>
            <w:hideMark/>
          </w:tcPr>
          <w:p w14:paraId="5C212515" w14:textId="77777777" w:rsidR="007A159F" w:rsidRPr="007A159F" w:rsidRDefault="007A159F" w:rsidP="007A159F">
            <w:pPr>
              <w:jc w:val="center"/>
              <w:rPr>
                <w:b/>
                <w:bCs/>
              </w:rPr>
            </w:pPr>
            <w:r w:rsidRPr="007A159F">
              <w:rPr>
                <w:b/>
                <w:bCs/>
              </w:rPr>
              <w:t>IC95%</w:t>
            </w:r>
          </w:p>
        </w:tc>
      </w:tr>
      <w:tr w:rsidR="007A159F" w:rsidRPr="007A159F" w14:paraId="7B18C82D" w14:textId="77777777" w:rsidTr="007A159F">
        <w:trPr>
          <w:trHeight w:val="310"/>
        </w:trPr>
        <w:tc>
          <w:tcPr>
            <w:tcW w:w="4800" w:type="dxa"/>
            <w:hideMark/>
          </w:tcPr>
          <w:p w14:paraId="3C0ADBA4" w14:textId="77777777" w:rsidR="007A159F" w:rsidRPr="007A159F" w:rsidRDefault="007A159F" w:rsidP="007A159F">
            <w:pPr>
              <w:jc w:val="both"/>
            </w:pPr>
            <w:r w:rsidRPr="007A159F">
              <w:t>Tutti i tumori maligni</w:t>
            </w:r>
          </w:p>
        </w:tc>
        <w:tc>
          <w:tcPr>
            <w:tcW w:w="1420" w:type="dxa"/>
            <w:hideMark/>
          </w:tcPr>
          <w:p w14:paraId="0798FED2" w14:textId="77777777" w:rsidR="007A159F" w:rsidRPr="007A159F" w:rsidRDefault="007A159F" w:rsidP="007A159F">
            <w:pPr>
              <w:jc w:val="center"/>
            </w:pPr>
            <w:r w:rsidRPr="007A159F">
              <w:t>2.417</w:t>
            </w:r>
          </w:p>
        </w:tc>
        <w:tc>
          <w:tcPr>
            <w:tcW w:w="1420" w:type="dxa"/>
            <w:hideMark/>
          </w:tcPr>
          <w:p w14:paraId="13746268" w14:textId="77777777" w:rsidR="007A159F" w:rsidRPr="007A159F" w:rsidRDefault="007A159F" w:rsidP="007A159F">
            <w:pPr>
              <w:jc w:val="center"/>
            </w:pPr>
            <w:r w:rsidRPr="007A159F">
              <w:t>31,7</w:t>
            </w:r>
          </w:p>
        </w:tc>
        <w:tc>
          <w:tcPr>
            <w:tcW w:w="1500" w:type="dxa"/>
            <w:noWrap/>
            <w:hideMark/>
          </w:tcPr>
          <w:p w14:paraId="72EFF862" w14:textId="77777777" w:rsidR="007A159F" w:rsidRPr="007A159F" w:rsidRDefault="007A159F" w:rsidP="007A159F">
            <w:pPr>
              <w:jc w:val="center"/>
            </w:pPr>
            <w:r w:rsidRPr="007A159F">
              <w:t>30,3 - 33,2</w:t>
            </w:r>
          </w:p>
        </w:tc>
      </w:tr>
      <w:tr w:rsidR="007A159F" w:rsidRPr="007A159F" w14:paraId="1111119A" w14:textId="77777777" w:rsidTr="007A159F">
        <w:trPr>
          <w:trHeight w:val="310"/>
        </w:trPr>
        <w:tc>
          <w:tcPr>
            <w:tcW w:w="4800" w:type="dxa"/>
            <w:hideMark/>
          </w:tcPr>
          <w:p w14:paraId="00C45ADE" w14:textId="77777777" w:rsidR="007A159F" w:rsidRPr="007A159F" w:rsidRDefault="007A159F" w:rsidP="007A159F">
            <w:pPr>
              <w:jc w:val="both"/>
            </w:pPr>
            <w:r w:rsidRPr="007A159F">
              <w:t xml:space="preserve">   Tumore del polmone</w:t>
            </w:r>
          </w:p>
        </w:tc>
        <w:tc>
          <w:tcPr>
            <w:tcW w:w="1420" w:type="dxa"/>
            <w:hideMark/>
          </w:tcPr>
          <w:p w14:paraId="07DE9526" w14:textId="77777777" w:rsidR="007A159F" w:rsidRPr="007A159F" w:rsidRDefault="007A159F" w:rsidP="007A159F">
            <w:pPr>
              <w:jc w:val="center"/>
            </w:pPr>
            <w:r w:rsidRPr="007A159F">
              <w:t>91</w:t>
            </w:r>
          </w:p>
        </w:tc>
        <w:tc>
          <w:tcPr>
            <w:tcW w:w="1420" w:type="dxa"/>
            <w:hideMark/>
          </w:tcPr>
          <w:p w14:paraId="010C8383" w14:textId="77777777" w:rsidR="007A159F" w:rsidRPr="007A159F" w:rsidRDefault="007A159F" w:rsidP="007A159F">
            <w:pPr>
              <w:jc w:val="center"/>
            </w:pPr>
            <w:r w:rsidRPr="007A159F">
              <w:t>1,1</w:t>
            </w:r>
          </w:p>
        </w:tc>
        <w:tc>
          <w:tcPr>
            <w:tcW w:w="1500" w:type="dxa"/>
            <w:noWrap/>
            <w:hideMark/>
          </w:tcPr>
          <w:p w14:paraId="581DFA1D" w14:textId="77777777" w:rsidR="007A159F" w:rsidRPr="007A159F" w:rsidRDefault="007A159F" w:rsidP="007A159F">
            <w:pPr>
              <w:jc w:val="center"/>
            </w:pPr>
            <w:r w:rsidRPr="007A159F">
              <w:t>0,9 - 1,4</w:t>
            </w:r>
          </w:p>
        </w:tc>
      </w:tr>
      <w:tr w:rsidR="007A159F" w:rsidRPr="007A159F" w14:paraId="6685C601" w14:textId="77777777" w:rsidTr="007A159F">
        <w:trPr>
          <w:trHeight w:val="310"/>
        </w:trPr>
        <w:tc>
          <w:tcPr>
            <w:tcW w:w="4800" w:type="dxa"/>
            <w:hideMark/>
          </w:tcPr>
          <w:p w14:paraId="56DD0D39" w14:textId="77777777" w:rsidR="007A159F" w:rsidRPr="007A159F" w:rsidRDefault="007A159F" w:rsidP="007A159F">
            <w:pPr>
              <w:jc w:val="both"/>
            </w:pPr>
            <w:r w:rsidRPr="007A159F">
              <w:t>Malattie del sistema circolatorio</w:t>
            </w:r>
          </w:p>
        </w:tc>
        <w:tc>
          <w:tcPr>
            <w:tcW w:w="1420" w:type="dxa"/>
            <w:hideMark/>
          </w:tcPr>
          <w:p w14:paraId="79511A19" w14:textId="77777777" w:rsidR="007A159F" w:rsidRPr="007A159F" w:rsidRDefault="007A159F" w:rsidP="007A159F">
            <w:pPr>
              <w:jc w:val="center"/>
            </w:pPr>
            <w:r w:rsidRPr="007A159F">
              <w:t>6.026</w:t>
            </w:r>
          </w:p>
        </w:tc>
        <w:tc>
          <w:tcPr>
            <w:tcW w:w="1420" w:type="dxa"/>
            <w:hideMark/>
          </w:tcPr>
          <w:p w14:paraId="37631B7B" w14:textId="77777777" w:rsidR="007A159F" w:rsidRPr="007A159F" w:rsidRDefault="007A159F" w:rsidP="007A159F">
            <w:pPr>
              <w:jc w:val="center"/>
            </w:pPr>
            <w:r w:rsidRPr="007A159F">
              <w:t>61,6</w:t>
            </w:r>
          </w:p>
        </w:tc>
        <w:tc>
          <w:tcPr>
            <w:tcW w:w="1500" w:type="dxa"/>
            <w:noWrap/>
            <w:hideMark/>
          </w:tcPr>
          <w:p w14:paraId="702214D3" w14:textId="77777777" w:rsidR="007A159F" w:rsidRPr="007A159F" w:rsidRDefault="007A159F" w:rsidP="007A159F">
            <w:pPr>
              <w:jc w:val="center"/>
            </w:pPr>
            <w:r w:rsidRPr="007A159F">
              <w:t>59,7 - 63,5</w:t>
            </w:r>
          </w:p>
        </w:tc>
      </w:tr>
      <w:tr w:rsidR="007A159F" w:rsidRPr="007A159F" w14:paraId="1138DD83" w14:textId="77777777" w:rsidTr="007A159F">
        <w:trPr>
          <w:trHeight w:val="310"/>
        </w:trPr>
        <w:tc>
          <w:tcPr>
            <w:tcW w:w="4800" w:type="dxa"/>
            <w:hideMark/>
          </w:tcPr>
          <w:p w14:paraId="350A0F2C" w14:textId="77777777" w:rsidR="007A159F" w:rsidRPr="007A159F" w:rsidRDefault="007A159F" w:rsidP="007A159F">
            <w:pPr>
              <w:jc w:val="both"/>
            </w:pPr>
            <w:r w:rsidRPr="007A159F">
              <w:t xml:space="preserve">   Malattie cardiache</w:t>
            </w:r>
          </w:p>
        </w:tc>
        <w:tc>
          <w:tcPr>
            <w:tcW w:w="1420" w:type="dxa"/>
            <w:hideMark/>
          </w:tcPr>
          <w:p w14:paraId="5DF4D9A8" w14:textId="77777777" w:rsidR="007A159F" w:rsidRPr="007A159F" w:rsidRDefault="007A159F" w:rsidP="007A159F">
            <w:pPr>
              <w:jc w:val="center"/>
            </w:pPr>
            <w:r w:rsidRPr="007A159F">
              <w:t>3.904</w:t>
            </w:r>
          </w:p>
        </w:tc>
        <w:tc>
          <w:tcPr>
            <w:tcW w:w="1420" w:type="dxa"/>
            <w:hideMark/>
          </w:tcPr>
          <w:p w14:paraId="154EF799" w14:textId="77777777" w:rsidR="007A159F" w:rsidRPr="007A159F" w:rsidRDefault="007A159F" w:rsidP="007A159F">
            <w:pPr>
              <w:jc w:val="center"/>
            </w:pPr>
            <w:r w:rsidRPr="007A159F">
              <w:t>37,1</w:t>
            </w:r>
          </w:p>
        </w:tc>
        <w:tc>
          <w:tcPr>
            <w:tcW w:w="1500" w:type="dxa"/>
            <w:noWrap/>
            <w:hideMark/>
          </w:tcPr>
          <w:p w14:paraId="117D5BD6" w14:textId="77777777" w:rsidR="007A159F" w:rsidRPr="007A159F" w:rsidRDefault="007A159F" w:rsidP="007A159F">
            <w:pPr>
              <w:jc w:val="center"/>
            </w:pPr>
            <w:r w:rsidRPr="007A159F">
              <w:t>35,7 - 38,5</w:t>
            </w:r>
          </w:p>
        </w:tc>
      </w:tr>
      <w:tr w:rsidR="007A159F" w:rsidRPr="007A159F" w14:paraId="1269F540" w14:textId="77777777" w:rsidTr="007A159F">
        <w:trPr>
          <w:trHeight w:val="310"/>
        </w:trPr>
        <w:tc>
          <w:tcPr>
            <w:tcW w:w="4800" w:type="dxa"/>
            <w:hideMark/>
          </w:tcPr>
          <w:p w14:paraId="4D96A9FB" w14:textId="77777777" w:rsidR="007A159F" w:rsidRPr="007A159F" w:rsidRDefault="007A159F" w:rsidP="007A159F">
            <w:pPr>
              <w:jc w:val="both"/>
            </w:pPr>
            <w:r w:rsidRPr="007A159F">
              <w:t xml:space="preserve">   Malattie cerebrovascolari</w:t>
            </w:r>
          </w:p>
        </w:tc>
        <w:tc>
          <w:tcPr>
            <w:tcW w:w="1420" w:type="dxa"/>
            <w:hideMark/>
          </w:tcPr>
          <w:p w14:paraId="2803CF49" w14:textId="77777777" w:rsidR="007A159F" w:rsidRPr="007A159F" w:rsidRDefault="007A159F" w:rsidP="007A159F">
            <w:pPr>
              <w:jc w:val="center"/>
            </w:pPr>
            <w:r w:rsidRPr="007A159F">
              <w:t>2.247</w:t>
            </w:r>
          </w:p>
        </w:tc>
        <w:tc>
          <w:tcPr>
            <w:tcW w:w="1420" w:type="dxa"/>
            <w:hideMark/>
          </w:tcPr>
          <w:p w14:paraId="3533F9D7" w14:textId="77777777" w:rsidR="007A159F" w:rsidRPr="007A159F" w:rsidRDefault="007A159F" w:rsidP="007A159F">
            <w:pPr>
              <w:jc w:val="center"/>
            </w:pPr>
            <w:r w:rsidRPr="007A159F">
              <w:t>18,4</w:t>
            </w:r>
          </w:p>
        </w:tc>
        <w:tc>
          <w:tcPr>
            <w:tcW w:w="1500" w:type="dxa"/>
            <w:noWrap/>
            <w:hideMark/>
          </w:tcPr>
          <w:p w14:paraId="26046A2D" w14:textId="77777777" w:rsidR="007A159F" w:rsidRPr="007A159F" w:rsidRDefault="007A159F" w:rsidP="007A159F">
            <w:pPr>
              <w:jc w:val="center"/>
            </w:pPr>
            <w:r w:rsidRPr="007A159F">
              <w:t>17,5 - 19,3</w:t>
            </w:r>
          </w:p>
        </w:tc>
      </w:tr>
      <w:tr w:rsidR="007A159F" w:rsidRPr="007A159F" w14:paraId="64829A91" w14:textId="77777777" w:rsidTr="007A159F">
        <w:trPr>
          <w:trHeight w:val="310"/>
        </w:trPr>
        <w:tc>
          <w:tcPr>
            <w:tcW w:w="4800" w:type="dxa"/>
            <w:hideMark/>
          </w:tcPr>
          <w:p w14:paraId="05F254DF" w14:textId="77777777" w:rsidR="007A159F" w:rsidRPr="007A159F" w:rsidRDefault="007A159F" w:rsidP="007A159F">
            <w:pPr>
              <w:jc w:val="both"/>
            </w:pPr>
            <w:r w:rsidRPr="007A159F">
              <w:t>Malattie del sistema respiratorio</w:t>
            </w:r>
          </w:p>
        </w:tc>
        <w:tc>
          <w:tcPr>
            <w:tcW w:w="1420" w:type="dxa"/>
            <w:hideMark/>
          </w:tcPr>
          <w:p w14:paraId="3CAEA077" w14:textId="77777777" w:rsidR="007A159F" w:rsidRPr="007A159F" w:rsidRDefault="007A159F" w:rsidP="007A159F">
            <w:pPr>
              <w:jc w:val="center"/>
            </w:pPr>
            <w:r w:rsidRPr="007A159F">
              <w:t>3.021</w:t>
            </w:r>
          </w:p>
        </w:tc>
        <w:tc>
          <w:tcPr>
            <w:tcW w:w="1420" w:type="dxa"/>
            <w:hideMark/>
          </w:tcPr>
          <w:p w14:paraId="124ECA94" w14:textId="77777777" w:rsidR="007A159F" w:rsidRPr="007A159F" w:rsidRDefault="007A159F" w:rsidP="007A159F">
            <w:pPr>
              <w:jc w:val="center"/>
            </w:pPr>
            <w:r w:rsidRPr="007A159F">
              <w:t>54,8</w:t>
            </w:r>
          </w:p>
        </w:tc>
        <w:tc>
          <w:tcPr>
            <w:tcW w:w="1500" w:type="dxa"/>
            <w:noWrap/>
            <w:hideMark/>
          </w:tcPr>
          <w:p w14:paraId="73BE3EF8" w14:textId="77777777" w:rsidR="007A159F" w:rsidRPr="007A159F" w:rsidRDefault="007A159F" w:rsidP="007A159F">
            <w:pPr>
              <w:jc w:val="center"/>
            </w:pPr>
            <w:r w:rsidRPr="007A159F">
              <w:t>52,4 - 57,4</w:t>
            </w:r>
          </w:p>
        </w:tc>
      </w:tr>
      <w:tr w:rsidR="007A159F" w:rsidRPr="007A159F" w14:paraId="07F9D428" w14:textId="77777777" w:rsidTr="007A159F">
        <w:trPr>
          <w:trHeight w:val="310"/>
        </w:trPr>
        <w:tc>
          <w:tcPr>
            <w:tcW w:w="4800" w:type="dxa"/>
            <w:hideMark/>
          </w:tcPr>
          <w:p w14:paraId="01708ADD" w14:textId="77777777" w:rsidR="007A159F" w:rsidRPr="007A159F" w:rsidRDefault="007A159F" w:rsidP="007A159F">
            <w:pPr>
              <w:jc w:val="both"/>
            </w:pPr>
            <w:r w:rsidRPr="007A159F">
              <w:t xml:space="preserve">   Malattie respiratorie acute</w:t>
            </w:r>
          </w:p>
        </w:tc>
        <w:tc>
          <w:tcPr>
            <w:tcW w:w="1420" w:type="dxa"/>
            <w:hideMark/>
          </w:tcPr>
          <w:p w14:paraId="558C0020" w14:textId="77777777" w:rsidR="007A159F" w:rsidRPr="007A159F" w:rsidRDefault="007A159F" w:rsidP="007A159F">
            <w:pPr>
              <w:jc w:val="center"/>
            </w:pPr>
            <w:r w:rsidRPr="007A159F">
              <w:t>976</w:t>
            </w:r>
          </w:p>
        </w:tc>
        <w:tc>
          <w:tcPr>
            <w:tcW w:w="1420" w:type="dxa"/>
            <w:hideMark/>
          </w:tcPr>
          <w:p w14:paraId="76ED9C2C" w14:textId="77777777" w:rsidR="007A159F" w:rsidRPr="007A159F" w:rsidRDefault="007A159F" w:rsidP="007A159F">
            <w:pPr>
              <w:jc w:val="center"/>
            </w:pPr>
            <w:r w:rsidRPr="007A159F">
              <w:t>20,8</w:t>
            </w:r>
          </w:p>
        </w:tc>
        <w:tc>
          <w:tcPr>
            <w:tcW w:w="1500" w:type="dxa"/>
            <w:noWrap/>
            <w:hideMark/>
          </w:tcPr>
          <w:p w14:paraId="148D3368" w14:textId="77777777" w:rsidR="007A159F" w:rsidRPr="007A159F" w:rsidRDefault="007A159F" w:rsidP="007A159F">
            <w:pPr>
              <w:jc w:val="center"/>
            </w:pPr>
            <w:r w:rsidRPr="007A159F">
              <w:t>19,2 - 22,6</w:t>
            </w:r>
          </w:p>
        </w:tc>
      </w:tr>
      <w:tr w:rsidR="007A159F" w:rsidRPr="007A159F" w14:paraId="3833D13E" w14:textId="77777777" w:rsidTr="007A159F">
        <w:trPr>
          <w:trHeight w:val="310"/>
        </w:trPr>
        <w:tc>
          <w:tcPr>
            <w:tcW w:w="4800" w:type="dxa"/>
            <w:hideMark/>
          </w:tcPr>
          <w:p w14:paraId="164CBEED" w14:textId="77777777" w:rsidR="007A159F" w:rsidRPr="007A159F" w:rsidRDefault="007A159F" w:rsidP="007A159F">
            <w:pPr>
              <w:jc w:val="both"/>
            </w:pPr>
            <w:r w:rsidRPr="007A159F">
              <w:t xml:space="preserve">   Malattie respiratorie croniche</w:t>
            </w:r>
          </w:p>
        </w:tc>
        <w:tc>
          <w:tcPr>
            <w:tcW w:w="1420" w:type="dxa"/>
            <w:hideMark/>
          </w:tcPr>
          <w:p w14:paraId="19454D03" w14:textId="77777777" w:rsidR="007A159F" w:rsidRPr="007A159F" w:rsidRDefault="007A159F" w:rsidP="007A159F">
            <w:pPr>
              <w:jc w:val="center"/>
            </w:pPr>
            <w:r w:rsidRPr="007A159F">
              <w:t>368</w:t>
            </w:r>
          </w:p>
        </w:tc>
        <w:tc>
          <w:tcPr>
            <w:tcW w:w="1420" w:type="dxa"/>
            <w:hideMark/>
          </w:tcPr>
          <w:p w14:paraId="12A82770" w14:textId="77777777" w:rsidR="007A159F" w:rsidRPr="007A159F" w:rsidRDefault="007A159F" w:rsidP="007A159F">
            <w:pPr>
              <w:jc w:val="center"/>
            </w:pPr>
            <w:r w:rsidRPr="007A159F">
              <w:t>3,0</w:t>
            </w:r>
          </w:p>
        </w:tc>
        <w:tc>
          <w:tcPr>
            <w:tcW w:w="1500" w:type="dxa"/>
            <w:noWrap/>
            <w:hideMark/>
          </w:tcPr>
          <w:p w14:paraId="57FDA1C4" w14:textId="77777777" w:rsidR="007A159F" w:rsidRPr="007A159F" w:rsidRDefault="007A159F" w:rsidP="007A159F">
            <w:pPr>
              <w:jc w:val="center"/>
            </w:pPr>
            <w:r w:rsidRPr="007A159F">
              <w:t>2,7 - 3,4</w:t>
            </w:r>
          </w:p>
        </w:tc>
      </w:tr>
      <w:tr w:rsidR="007A159F" w:rsidRPr="007A159F" w14:paraId="0E66703B" w14:textId="77777777" w:rsidTr="007A159F">
        <w:trPr>
          <w:trHeight w:val="310"/>
        </w:trPr>
        <w:tc>
          <w:tcPr>
            <w:tcW w:w="4800" w:type="dxa"/>
            <w:hideMark/>
          </w:tcPr>
          <w:p w14:paraId="36EF06B9" w14:textId="77777777" w:rsidR="007A159F" w:rsidRPr="007A159F" w:rsidRDefault="007A159F" w:rsidP="007A159F">
            <w:pPr>
              <w:jc w:val="both"/>
            </w:pPr>
            <w:r w:rsidRPr="007A159F">
              <w:t>Malattie dell'apparato digerente</w:t>
            </w:r>
          </w:p>
        </w:tc>
        <w:tc>
          <w:tcPr>
            <w:tcW w:w="1420" w:type="dxa"/>
            <w:hideMark/>
          </w:tcPr>
          <w:p w14:paraId="0AE1C0D3" w14:textId="77777777" w:rsidR="007A159F" w:rsidRPr="007A159F" w:rsidRDefault="007A159F" w:rsidP="007A159F">
            <w:pPr>
              <w:jc w:val="center"/>
            </w:pPr>
            <w:r w:rsidRPr="007A159F">
              <w:t>4.395</w:t>
            </w:r>
          </w:p>
        </w:tc>
        <w:tc>
          <w:tcPr>
            <w:tcW w:w="1420" w:type="dxa"/>
            <w:hideMark/>
          </w:tcPr>
          <w:p w14:paraId="11AF1B6C" w14:textId="77777777" w:rsidR="007A159F" w:rsidRPr="007A159F" w:rsidRDefault="007A159F" w:rsidP="007A159F">
            <w:pPr>
              <w:jc w:val="center"/>
            </w:pPr>
            <w:r w:rsidRPr="007A159F">
              <w:t>69,4</w:t>
            </w:r>
          </w:p>
        </w:tc>
        <w:tc>
          <w:tcPr>
            <w:tcW w:w="1500" w:type="dxa"/>
            <w:noWrap/>
            <w:hideMark/>
          </w:tcPr>
          <w:p w14:paraId="05BBBDA1" w14:textId="77777777" w:rsidR="007A159F" w:rsidRPr="007A159F" w:rsidRDefault="007A159F" w:rsidP="007A159F">
            <w:pPr>
              <w:jc w:val="center"/>
            </w:pPr>
            <w:r w:rsidRPr="007A159F">
              <w:t>67,0 - 71,8</w:t>
            </w:r>
          </w:p>
        </w:tc>
      </w:tr>
      <w:tr w:rsidR="007A159F" w:rsidRPr="007A159F" w14:paraId="08FC9B95" w14:textId="77777777" w:rsidTr="007A159F">
        <w:trPr>
          <w:trHeight w:val="310"/>
        </w:trPr>
        <w:tc>
          <w:tcPr>
            <w:tcW w:w="4800" w:type="dxa"/>
            <w:hideMark/>
          </w:tcPr>
          <w:p w14:paraId="0AEC3764" w14:textId="77777777" w:rsidR="007A159F" w:rsidRPr="007A159F" w:rsidRDefault="007A159F" w:rsidP="007A159F">
            <w:pPr>
              <w:jc w:val="both"/>
            </w:pPr>
            <w:r w:rsidRPr="007A159F">
              <w:t>Malattie dell'apparato urinario</w:t>
            </w:r>
          </w:p>
        </w:tc>
        <w:tc>
          <w:tcPr>
            <w:tcW w:w="1420" w:type="dxa"/>
            <w:hideMark/>
          </w:tcPr>
          <w:p w14:paraId="2315B466" w14:textId="77777777" w:rsidR="007A159F" w:rsidRPr="007A159F" w:rsidRDefault="007A159F" w:rsidP="007A159F">
            <w:pPr>
              <w:jc w:val="center"/>
            </w:pPr>
            <w:r w:rsidRPr="007A159F">
              <w:t>1.031</w:t>
            </w:r>
          </w:p>
        </w:tc>
        <w:tc>
          <w:tcPr>
            <w:tcW w:w="1420" w:type="dxa"/>
            <w:hideMark/>
          </w:tcPr>
          <w:p w14:paraId="12B661F5" w14:textId="77777777" w:rsidR="007A159F" w:rsidRPr="007A159F" w:rsidRDefault="007A159F" w:rsidP="007A159F">
            <w:pPr>
              <w:jc w:val="center"/>
            </w:pPr>
            <w:r w:rsidRPr="007A159F">
              <w:t>14,3</w:t>
            </w:r>
          </w:p>
        </w:tc>
        <w:tc>
          <w:tcPr>
            <w:tcW w:w="1500" w:type="dxa"/>
            <w:noWrap/>
            <w:hideMark/>
          </w:tcPr>
          <w:p w14:paraId="79D8B09E" w14:textId="77777777" w:rsidR="007A159F" w:rsidRPr="007A159F" w:rsidRDefault="007A159F" w:rsidP="007A159F">
            <w:pPr>
              <w:jc w:val="center"/>
            </w:pPr>
            <w:r w:rsidRPr="007A159F">
              <w:t>13,3 - 15,4</w:t>
            </w:r>
          </w:p>
        </w:tc>
      </w:tr>
    </w:tbl>
    <w:p w14:paraId="5DE9521C" w14:textId="77777777" w:rsidR="007231F6" w:rsidRDefault="00DD116F" w:rsidP="00334DC3">
      <w:pPr>
        <w:jc w:val="both"/>
        <w:rPr>
          <w:b/>
        </w:rPr>
      </w:pPr>
      <w:r>
        <w:rPr>
          <w:b/>
        </w:rPr>
        <w:lastRenderedPageBreak/>
        <w:t>Tab</w:t>
      </w:r>
      <w:r w:rsidR="007A159F">
        <w:rPr>
          <w:b/>
        </w:rPr>
        <w:t xml:space="preserve">ella </w:t>
      </w:r>
      <w:r>
        <w:rPr>
          <w:b/>
        </w:rPr>
        <w:t xml:space="preserve">7. Area di Venafro. </w:t>
      </w:r>
      <w:r w:rsidR="007231F6">
        <w:rPr>
          <w:b/>
        </w:rPr>
        <w:t>Numero di ricoverati, numero di casi attesi, rapporto standardizzato di ospedalizzazione (SHR) con IC 95%, per causa - Uomini</w:t>
      </w:r>
    </w:p>
    <w:tbl>
      <w:tblPr>
        <w:tblW w:w="9160" w:type="dxa"/>
        <w:tblInd w:w="-5" w:type="dxa"/>
        <w:tblCellMar>
          <w:left w:w="70" w:type="dxa"/>
          <w:right w:w="70" w:type="dxa"/>
        </w:tblCellMar>
        <w:tblLook w:val="04A0" w:firstRow="1" w:lastRow="0" w:firstColumn="1" w:lastColumn="0" w:noHBand="0" w:noVBand="1"/>
      </w:tblPr>
      <w:tblGrid>
        <w:gridCol w:w="5273"/>
        <w:gridCol w:w="760"/>
        <w:gridCol w:w="767"/>
        <w:gridCol w:w="840"/>
        <w:gridCol w:w="1520"/>
      </w:tblGrid>
      <w:tr w:rsidR="007231F6" w:rsidRPr="007231F6" w14:paraId="17A4641E" w14:textId="77777777" w:rsidTr="007231F6">
        <w:trPr>
          <w:trHeight w:val="450"/>
        </w:trPr>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FD1BD" w14:textId="77777777" w:rsidR="007231F6" w:rsidRPr="007231F6" w:rsidRDefault="007231F6" w:rsidP="007231F6">
            <w:pPr>
              <w:spacing w:after="0" w:line="240" w:lineRule="auto"/>
              <w:rPr>
                <w:rFonts w:eastAsia="Times New Roman" w:cstheme="minorHAnsi"/>
                <w:b/>
                <w:bCs/>
                <w:lang w:eastAsia="it-IT"/>
              </w:rPr>
            </w:pPr>
            <w:r w:rsidRPr="007231F6">
              <w:rPr>
                <w:rFonts w:eastAsia="Times New Roman" w:cstheme="minorHAnsi"/>
                <w:b/>
                <w:bCs/>
                <w:lang w:eastAsia="it-IT"/>
              </w:rPr>
              <w:t>Causa</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231E2A23"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casi</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57433876"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attesi</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48D9E61A"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SHR</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6A5D481D"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IC95%</w:t>
            </w:r>
          </w:p>
        </w:tc>
      </w:tr>
      <w:tr w:rsidR="007231F6" w:rsidRPr="007231F6" w14:paraId="78B76FB2"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18A195BD"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Tutti i tumori maligni</w:t>
            </w:r>
          </w:p>
        </w:tc>
        <w:tc>
          <w:tcPr>
            <w:tcW w:w="760" w:type="dxa"/>
            <w:tcBorders>
              <w:top w:val="nil"/>
              <w:left w:val="nil"/>
              <w:bottom w:val="single" w:sz="4" w:space="0" w:color="auto"/>
              <w:right w:val="single" w:sz="4" w:space="0" w:color="auto"/>
            </w:tcBorders>
            <w:shd w:val="clear" w:color="000000" w:fill="FFFFFF"/>
            <w:hideMark/>
          </w:tcPr>
          <w:p w14:paraId="09FA280A"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402</w:t>
            </w:r>
          </w:p>
        </w:tc>
        <w:tc>
          <w:tcPr>
            <w:tcW w:w="767" w:type="dxa"/>
            <w:tcBorders>
              <w:top w:val="nil"/>
              <w:left w:val="nil"/>
              <w:bottom w:val="single" w:sz="4" w:space="0" w:color="auto"/>
              <w:right w:val="single" w:sz="4" w:space="0" w:color="auto"/>
            </w:tcBorders>
            <w:shd w:val="clear" w:color="000000" w:fill="FFFFFF"/>
            <w:hideMark/>
          </w:tcPr>
          <w:p w14:paraId="5CDEB9D5"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454</w:t>
            </w:r>
          </w:p>
        </w:tc>
        <w:tc>
          <w:tcPr>
            <w:tcW w:w="840" w:type="dxa"/>
            <w:tcBorders>
              <w:top w:val="nil"/>
              <w:left w:val="nil"/>
              <w:bottom w:val="single" w:sz="4" w:space="0" w:color="auto"/>
              <w:right w:val="single" w:sz="4" w:space="0" w:color="auto"/>
            </w:tcBorders>
            <w:shd w:val="clear" w:color="000000" w:fill="FFFFFF"/>
            <w:hideMark/>
          </w:tcPr>
          <w:p w14:paraId="678C150A"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88,6</w:t>
            </w:r>
          </w:p>
        </w:tc>
        <w:tc>
          <w:tcPr>
            <w:tcW w:w="1520" w:type="dxa"/>
            <w:tcBorders>
              <w:top w:val="nil"/>
              <w:left w:val="nil"/>
              <w:bottom w:val="single" w:sz="4" w:space="0" w:color="auto"/>
              <w:right w:val="single" w:sz="4" w:space="0" w:color="auto"/>
            </w:tcBorders>
            <w:shd w:val="clear" w:color="000000" w:fill="FFFFFF"/>
            <w:noWrap/>
            <w:vAlign w:val="center"/>
            <w:hideMark/>
          </w:tcPr>
          <w:p w14:paraId="041019B9"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80,1 - 97,7</w:t>
            </w:r>
          </w:p>
        </w:tc>
      </w:tr>
      <w:tr w:rsidR="007231F6" w:rsidRPr="007231F6" w14:paraId="0CD56C02"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30450749"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 xml:space="preserve">   Tumore del polmone</w:t>
            </w:r>
          </w:p>
        </w:tc>
        <w:tc>
          <w:tcPr>
            <w:tcW w:w="760" w:type="dxa"/>
            <w:tcBorders>
              <w:top w:val="nil"/>
              <w:left w:val="nil"/>
              <w:bottom w:val="single" w:sz="4" w:space="0" w:color="auto"/>
              <w:right w:val="single" w:sz="4" w:space="0" w:color="auto"/>
            </w:tcBorders>
            <w:shd w:val="clear" w:color="000000" w:fill="FFFFFF"/>
            <w:hideMark/>
          </w:tcPr>
          <w:p w14:paraId="63354CAA"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46</w:t>
            </w:r>
          </w:p>
        </w:tc>
        <w:tc>
          <w:tcPr>
            <w:tcW w:w="767" w:type="dxa"/>
            <w:tcBorders>
              <w:top w:val="nil"/>
              <w:left w:val="nil"/>
              <w:bottom w:val="single" w:sz="4" w:space="0" w:color="auto"/>
              <w:right w:val="single" w:sz="4" w:space="0" w:color="auto"/>
            </w:tcBorders>
            <w:shd w:val="clear" w:color="000000" w:fill="FFFFFF"/>
            <w:hideMark/>
          </w:tcPr>
          <w:p w14:paraId="0ECB0B19"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51</w:t>
            </w:r>
          </w:p>
        </w:tc>
        <w:tc>
          <w:tcPr>
            <w:tcW w:w="840" w:type="dxa"/>
            <w:tcBorders>
              <w:top w:val="nil"/>
              <w:left w:val="nil"/>
              <w:bottom w:val="single" w:sz="4" w:space="0" w:color="auto"/>
              <w:right w:val="single" w:sz="4" w:space="0" w:color="auto"/>
            </w:tcBorders>
            <w:shd w:val="clear" w:color="000000" w:fill="FFFFFF"/>
            <w:hideMark/>
          </w:tcPr>
          <w:p w14:paraId="1E7582CB"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90,4</w:t>
            </w:r>
          </w:p>
        </w:tc>
        <w:tc>
          <w:tcPr>
            <w:tcW w:w="1520" w:type="dxa"/>
            <w:tcBorders>
              <w:top w:val="nil"/>
              <w:left w:val="nil"/>
              <w:bottom w:val="single" w:sz="4" w:space="0" w:color="auto"/>
              <w:right w:val="single" w:sz="4" w:space="0" w:color="auto"/>
            </w:tcBorders>
            <w:shd w:val="clear" w:color="000000" w:fill="FFFFFF"/>
            <w:noWrap/>
            <w:vAlign w:val="center"/>
            <w:hideMark/>
          </w:tcPr>
          <w:p w14:paraId="1D276EE1"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66,2 - 120,6</w:t>
            </w:r>
          </w:p>
        </w:tc>
      </w:tr>
      <w:tr w:rsidR="007231F6" w:rsidRPr="007231F6" w14:paraId="60319D0F"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729D3A07"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Malattie del sistema circolatorio</w:t>
            </w:r>
          </w:p>
        </w:tc>
        <w:tc>
          <w:tcPr>
            <w:tcW w:w="760" w:type="dxa"/>
            <w:tcBorders>
              <w:top w:val="nil"/>
              <w:left w:val="nil"/>
              <w:bottom w:val="single" w:sz="4" w:space="0" w:color="auto"/>
              <w:right w:val="single" w:sz="4" w:space="0" w:color="auto"/>
            </w:tcBorders>
            <w:shd w:val="clear" w:color="000000" w:fill="FFFFFF"/>
            <w:hideMark/>
          </w:tcPr>
          <w:p w14:paraId="14C80C51"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1.252</w:t>
            </w:r>
          </w:p>
        </w:tc>
        <w:tc>
          <w:tcPr>
            <w:tcW w:w="767" w:type="dxa"/>
            <w:tcBorders>
              <w:top w:val="nil"/>
              <w:left w:val="nil"/>
              <w:bottom w:val="single" w:sz="4" w:space="0" w:color="auto"/>
              <w:right w:val="single" w:sz="4" w:space="0" w:color="auto"/>
            </w:tcBorders>
            <w:shd w:val="clear" w:color="000000" w:fill="FFFFFF"/>
            <w:hideMark/>
          </w:tcPr>
          <w:p w14:paraId="598D36F2"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1.101</w:t>
            </w:r>
          </w:p>
        </w:tc>
        <w:tc>
          <w:tcPr>
            <w:tcW w:w="840" w:type="dxa"/>
            <w:tcBorders>
              <w:top w:val="nil"/>
              <w:left w:val="nil"/>
              <w:bottom w:val="single" w:sz="4" w:space="0" w:color="auto"/>
              <w:right w:val="single" w:sz="4" w:space="0" w:color="auto"/>
            </w:tcBorders>
            <w:shd w:val="clear" w:color="000000" w:fill="FFFFFF"/>
            <w:hideMark/>
          </w:tcPr>
          <w:p w14:paraId="1981D29C"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113,7</w:t>
            </w:r>
          </w:p>
        </w:tc>
        <w:tc>
          <w:tcPr>
            <w:tcW w:w="1520" w:type="dxa"/>
            <w:tcBorders>
              <w:top w:val="nil"/>
              <w:left w:val="nil"/>
              <w:bottom w:val="single" w:sz="4" w:space="0" w:color="auto"/>
              <w:right w:val="single" w:sz="4" w:space="0" w:color="auto"/>
            </w:tcBorders>
            <w:shd w:val="clear" w:color="000000" w:fill="FFFFFF"/>
            <w:noWrap/>
            <w:vAlign w:val="center"/>
            <w:hideMark/>
          </w:tcPr>
          <w:p w14:paraId="24796558"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107,5 - 120,1</w:t>
            </w:r>
          </w:p>
        </w:tc>
      </w:tr>
      <w:tr w:rsidR="007231F6" w:rsidRPr="007231F6" w14:paraId="0919E309"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6A633C36"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 xml:space="preserve">   Malattie cardiache</w:t>
            </w:r>
          </w:p>
        </w:tc>
        <w:tc>
          <w:tcPr>
            <w:tcW w:w="760" w:type="dxa"/>
            <w:tcBorders>
              <w:top w:val="nil"/>
              <w:left w:val="nil"/>
              <w:bottom w:val="single" w:sz="4" w:space="0" w:color="auto"/>
              <w:right w:val="single" w:sz="4" w:space="0" w:color="auto"/>
            </w:tcBorders>
            <w:shd w:val="clear" w:color="000000" w:fill="FFFFFF"/>
            <w:hideMark/>
          </w:tcPr>
          <w:p w14:paraId="7C09D5CE"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827</w:t>
            </w:r>
          </w:p>
        </w:tc>
        <w:tc>
          <w:tcPr>
            <w:tcW w:w="767" w:type="dxa"/>
            <w:tcBorders>
              <w:top w:val="nil"/>
              <w:left w:val="nil"/>
              <w:bottom w:val="single" w:sz="4" w:space="0" w:color="auto"/>
              <w:right w:val="single" w:sz="4" w:space="0" w:color="auto"/>
            </w:tcBorders>
            <w:shd w:val="clear" w:color="000000" w:fill="FFFFFF"/>
            <w:hideMark/>
          </w:tcPr>
          <w:p w14:paraId="205C3926"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745</w:t>
            </w:r>
          </w:p>
        </w:tc>
        <w:tc>
          <w:tcPr>
            <w:tcW w:w="840" w:type="dxa"/>
            <w:tcBorders>
              <w:top w:val="nil"/>
              <w:left w:val="nil"/>
              <w:bottom w:val="single" w:sz="4" w:space="0" w:color="auto"/>
              <w:right w:val="single" w:sz="4" w:space="0" w:color="auto"/>
            </w:tcBorders>
            <w:shd w:val="clear" w:color="000000" w:fill="FFFFFF"/>
            <w:hideMark/>
          </w:tcPr>
          <w:p w14:paraId="0D091D48"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111,1</w:t>
            </w:r>
          </w:p>
        </w:tc>
        <w:tc>
          <w:tcPr>
            <w:tcW w:w="1520" w:type="dxa"/>
            <w:tcBorders>
              <w:top w:val="nil"/>
              <w:left w:val="nil"/>
              <w:bottom w:val="single" w:sz="4" w:space="0" w:color="auto"/>
              <w:right w:val="single" w:sz="4" w:space="0" w:color="auto"/>
            </w:tcBorders>
            <w:shd w:val="clear" w:color="000000" w:fill="FFFFFF"/>
            <w:noWrap/>
            <w:vAlign w:val="center"/>
            <w:hideMark/>
          </w:tcPr>
          <w:p w14:paraId="31B508A8"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103,6 - 118,9</w:t>
            </w:r>
          </w:p>
        </w:tc>
      </w:tr>
      <w:tr w:rsidR="007231F6" w:rsidRPr="007231F6" w14:paraId="787CF39E"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4127871E"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 xml:space="preserve">   Malattie cerebrovascolari</w:t>
            </w:r>
          </w:p>
        </w:tc>
        <w:tc>
          <w:tcPr>
            <w:tcW w:w="760" w:type="dxa"/>
            <w:tcBorders>
              <w:top w:val="nil"/>
              <w:left w:val="nil"/>
              <w:bottom w:val="single" w:sz="4" w:space="0" w:color="auto"/>
              <w:right w:val="single" w:sz="4" w:space="0" w:color="auto"/>
            </w:tcBorders>
            <w:shd w:val="clear" w:color="000000" w:fill="FFFFFF"/>
            <w:hideMark/>
          </w:tcPr>
          <w:p w14:paraId="2477623E"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476</w:t>
            </w:r>
          </w:p>
        </w:tc>
        <w:tc>
          <w:tcPr>
            <w:tcW w:w="767" w:type="dxa"/>
            <w:tcBorders>
              <w:top w:val="nil"/>
              <w:left w:val="nil"/>
              <w:bottom w:val="single" w:sz="4" w:space="0" w:color="auto"/>
              <w:right w:val="single" w:sz="4" w:space="0" w:color="auto"/>
            </w:tcBorders>
            <w:shd w:val="clear" w:color="000000" w:fill="FFFFFF"/>
            <w:hideMark/>
          </w:tcPr>
          <w:p w14:paraId="13009DEC"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301</w:t>
            </w:r>
          </w:p>
        </w:tc>
        <w:tc>
          <w:tcPr>
            <w:tcW w:w="840" w:type="dxa"/>
            <w:tcBorders>
              <w:top w:val="nil"/>
              <w:left w:val="nil"/>
              <w:bottom w:val="single" w:sz="4" w:space="0" w:color="auto"/>
              <w:right w:val="single" w:sz="4" w:space="0" w:color="auto"/>
            </w:tcBorders>
            <w:shd w:val="clear" w:color="000000" w:fill="FFFFFF"/>
            <w:hideMark/>
          </w:tcPr>
          <w:p w14:paraId="19B71F75"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158,1</w:t>
            </w:r>
          </w:p>
        </w:tc>
        <w:tc>
          <w:tcPr>
            <w:tcW w:w="1520" w:type="dxa"/>
            <w:tcBorders>
              <w:top w:val="nil"/>
              <w:left w:val="nil"/>
              <w:bottom w:val="single" w:sz="4" w:space="0" w:color="auto"/>
              <w:right w:val="single" w:sz="4" w:space="0" w:color="auto"/>
            </w:tcBorders>
            <w:shd w:val="clear" w:color="000000" w:fill="FFFFFF"/>
            <w:noWrap/>
            <w:vAlign w:val="center"/>
            <w:hideMark/>
          </w:tcPr>
          <w:p w14:paraId="213E923D"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144,2 - 173,0</w:t>
            </w:r>
          </w:p>
        </w:tc>
      </w:tr>
      <w:tr w:rsidR="007231F6" w:rsidRPr="007231F6" w14:paraId="791064EA"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6C9ADCD9"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Malattie del sistema respiratorio</w:t>
            </w:r>
          </w:p>
        </w:tc>
        <w:tc>
          <w:tcPr>
            <w:tcW w:w="760" w:type="dxa"/>
            <w:tcBorders>
              <w:top w:val="nil"/>
              <w:left w:val="nil"/>
              <w:bottom w:val="single" w:sz="4" w:space="0" w:color="auto"/>
              <w:right w:val="single" w:sz="4" w:space="0" w:color="auto"/>
            </w:tcBorders>
            <w:shd w:val="clear" w:color="000000" w:fill="FFFFFF"/>
            <w:hideMark/>
          </w:tcPr>
          <w:p w14:paraId="0C1752C4"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714</w:t>
            </w:r>
          </w:p>
        </w:tc>
        <w:tc>
          <w:tcPr>
            <w:tcW w:w="767" w:type="dxa"/>
            <w:tcBorders>
              <w:top w:val="nil"/>
              <w:left w:val="nil"/>
              <w:bottom w:val="single" w:sz="4" w:space="0" w:color="auto"/>
              <w:right w:val="single" w:sz="4" w:space="0" w:color="auto"/>
            </w:tcBorders>
            <w:shd w:val="clear" w:color="000000" w:fill="FFFFFF"/>
            <w:hideMark/>
          </w:tcPr>
          <w:p w14:paraId="75CEEC43"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653</w:t>
            </w:r>
          </w:p>
        </w:tc>
        <w:tc>
          <w:tcPr>
            <w:tcW w:w="840" w:type="dxa"/>
            <w:tcBorders>
              <w:top w:val="nil"/>
              <w:left w:val="nil"/>
              <w:bottom w:val="single" w:sz="4" w:space="0" w:color="auto"/>
              <w:right w:val="single" w:sz="4" w:space="0" w:color="auto"/>
            </w:tcBorders>
            <w:shd w:val="clear" w:color="000000" w:fill="FFFFFF"/>
            <w:hideMark/>
          </w:tcPr>
          <w:p w14:paraId="1E4AB5FC"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109,3</w:t>
            </w:r>
          </w:p>
        </w:tc>
        <w:tc>
          <w:tcPr>
            <w:tcW w:w="1520" w:type="dxa"/>
            <w:tcBorders>
              <w:top w:val="nil"/>
              <w:left w:val="nil"/>
              <w:bottom w:val="single" w:sz="4" w:space="0" w:color="auto"/>
              <w:right w:val="single" w:sz="4" w:space="0" w:color="auto"/>
            </w:tcBorders>
            <w:shd w:val="clear" w:color="000000" w:fill="FFFFFF"/>
            <w:noWrap/>
            <w:vAlign w:val="center"/>
            <w:hideMark/>
          </w:tcPr>
          <w:p w14:paraId="333450E6"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101,4 - 117,6</w:t>
            </w:r>
          </w:p>
        </w:tc>
      </w:tr>
      <w:tr w:rsidR="007231F6" w:rsidRPr="007231F6" w14:paraId="0277B9BE"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04FC4B4A"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 xml:space="preserve">   Malattie respiratorie acute</w:t>
            </w:r>
          </w:p>
        </w:tc>
        <w:tc>
          <w:tcPr>
            <w:tcW w:w="760" w:type="dxa"/>
            <w:tcBorders>
              <w:top w:val="nil"/>
              <w:left w:val="nil"/>
              <w:bottom w:val="single" w:sz="4" w:space="0" w:color="auto"/>
              <w:right w:val="single" w:sz="4" w:space="0" w:color="auto"/>
            </w:tcBorders>
            <w:shd w:val="clear" w:color="000000" w:fill="FFFFFF"/>
            <w:hideMark/>
          </w:tcPr>
          <w:p w14:paraId="5DE1071C"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238</w:t>
            </w:r>
          </w:p>
        </w:tc>
        <w:tc>
          <w:tcPr>
            <w:tcW w:w="767" w:type="dxa"/>
            <w:tcBorders>
              <w:top w:val="nil"/>
              <w:left w:val="nil"/>
              <w:bottom w:val="single" w:sz="4" w:space="0" w:color="auto"/>
              <w:right w:val="single" w:sz="4" w:space="0" w:color="auto"/>
            </w:tcBorders>
            <w:shd w:val="clear" w:color="000000" w:fill="FFFFFF"/>
            <w:hideMark/>
          </w:tcPr>
          <w:p w14:paraId="1CDAA3FA"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231</w:t>
            </w:r>
          </w:p>
        </w:tc>
        <w:tc>
          <w:tcPr>
            <w:tcW w:w="840" w:type="dxa"/>
            <w:tcBorders>
              <w:top w:val="nil"/>
              <w:left w:val="nil"/>
              <w:bottom w:val="single" w:sz="4" w:space="0" w:color="auto"/>
              <w:right w:val="single" w:sz="4" w:space="0" w:color="auto"/>
            </w:tcBorders>
            <w:shd w:val="clear" w:color="000000" w:fill="FFFFFF"/>
            <w:hideMark/>
          </w:tcPr>
          <w:p w14:paraId="0AD16964"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103,2</w:t>
            </w:r>
          </w:p>
        </w:tc>
        <w:tc>
          <w:tcPr>
            <w:tcW w:w="1520" w:type="dxa"/>
            <w:tcBorders>
              <w:top w:val="nil"/>
              <w:left w:val="nil"/>
              <w:bottom w:val="single" w:sz="4" w:space="0" w:color="auto"/>
              <w:right w:val="single" w:sz="4" w:space="0" w:color="auto"/>
            </w:tcBorders>
            <w:shd w:val="clear" w:color="000000" w:fill="FFFFFF"/>
            <w:noWrap/>
            <w:vAlign w:val="center"/>
            <w:hideMark/>
          </w:tcPr>
          <w:p w14:paraId="1EC4E451"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90,5 - 117,1</w:t>
            </w:r>
          </w:p>
        </w:tc>
      </w:tr>
      <w:tr w:rsidR="007231F6" w:rsidRPr="007231F6" w14:paraId="17389F88"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461D57FC"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 xml:space="preserve">   Malattie respiratorie croniche</w:t>
            </w:r>
          </w:p>
        </w:tc>
        <w:tc>
          <w:tcPr>
            <w:tcW w:w="760" w:type="dxa"/>
            <w:tcBorders>
              <w:top w:val="nil"/>
              <w:left w:val="nil"/>
              <w:bottom w:val="single" w:sz="4" w:space="0" w:color="auto"/>
              <w:right w:val="single" w:sz="4" w:space="0" w:color="auto"/>
            </w:tcBorders>
            <w:shd w:val="clear" w:color="000000" w:fill="FFFFFF"/>
            <w:hideMark/>
          </w:tcPr>
          <w:p w14:paraId="6EC52D99"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134</w:t>
            </w:r>
          </w:p>
        </w:tc>
        <w:tc>
          <w:tcPr>
            <w:tcW w:w="767" w:type="dxa"/>
            <w:tcBorders>
              <w:top w:val="nil"/>
              <w:left w:val="nil"/>
              <w:bottom w:val="single" w:sz="4" w:space="0" w:color="auto"/>
              <w:right w:val="single" w:sz="4" w:space="0" w:color="auto"/>
            </w:tcBorders>
            <w:shd w:val="clear" w:color="000000" w:fill="FFFFFF"/>
            <w:hideMark/>
          </w:tcPr>
          <w:p w14:paraId="1D732944"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78</w:t>
            </w:r>
          </w:p>
        </w:tc>
        <w:tc>
          <w:tcPr>
            <w:tcW w:w="840" w:type="dxa"/>
            <w:tcBorders>
              <w:top w:val="nil"/>
              <w:left w:val="nil"/>
              <w:bottom w:val="single" w:sz="4" w:space="0" w:color="auto"/>
              <w:right w:val="single" w:sz="4" w:space="0" w:color="auto"/>
            </w:tcBorders>
            <w:shd w:val="clear" w:color="000000" w:fill="FFFFFF"/>
            <w:hideMark/>
          </w:tcPr>
          <w:p w14:paraId="6602D1B8"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171,5</w:t>
            </w:r>
          </w:p>
        </w:tc>
        <w:tc>
          <w:tcPr>
            <w:tcW w:w="1520" w:type="dxa"/>
            <w:tcBorders>
              <w:top w:val="nil"/>
              <w:left w:val="nil"/>
              <w:bottom w:val="single" w:sz="4" w:space="0" w:color="auto"/>
              <w:right w:val="single" w:sz="4" w:space="0" w:color="auto"/>
            </w:tcBorders>
            <w:shd w:val="clear" w:color="000000" w:fill="FFFFFF"/>
            <w:noWrap/>
            <w:vAlign w:val="center"/>
            <w:hideMark/>
          </w:tcPr>
          <w:p w14:paraId="15346CA4"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143,7 - 203,1</w:t>
            </w:r>
          </w:p>
        </w:tc>
      </w:tr>
      <w:tr w:rsidR="007231F6" w:rsidRPr="007231F6" w14:paraId="4F32D683"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724CD09C"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Malattie dell'apparato digerente</w:t>
            </w:r>
          </w:p>
        </w:tc>
        <w:tc>
          <w:tcPr>
            <w:tcW w:w="760" w:type="dxa"/>
            <w:tcBorders>
              <w:top w:val="nil"/>
              <w:left w:val="nil"/>
              <w:bottom w:val="single" w:sz="4" w:space="0" w:color="auto"/>
              <w:right w:val="single" w:sz="4" w:space="0" w:color="auto"/>
            </w:tcBorders>
            <w:shd w:val="clear" w:color="000000" w:fill="FFFFFF"/>
            <w:hideMark/>
          </w:tcPr>
          <w:p w14:paraId="07EBF752"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831</w:t>
            </w:r>
          </w:p>
        </w:tc>
        <w:tc>
          <w:tcPr>
            <w:tcW w:w="767" w:type="dxa"/>
            <w:tcBorders>
              <w:top w:val="nil"/>
              <w:left w:val="nil"/>
              <w:bottom w:val="single" w:sz="4" w:space="0" w:color="auto"/>
              <w:right w:val="single" w:sz="4" w:space="0" w:color="auto"/>
            </w:tcBorders>
            <w:shd w:val="clear" w:color="000000" w:fill="FFFFFF"/>
            <w:hideMark/>
          </w:tcPr>
          <w:p w14:paraId="027BC801"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900</w:t>
            </w:r>
          </w:p>
        </w:tc>
        <w:tc>
          <w:tcPr>
            <w:tcW w:w="840" w:type="dxa"/>
            <w:tcBorders>
              <w:top w:val="nil"/>
              <w:left w:val="nil"/>
              <w:bottom w:val="single" w:sz="4" w:space="0" w:color="auto"/>
              <w:right w:val="single" w:sz="4" w:space="0" w:color="auto"/>
            </w:tcBorders>
            <w:shd w:val="clear" w:color="000000" w:fill="FFFFFF"/>
            <w:hideMark/>
          </w:tcPr>
          <w:p w14:paraId="61B47F37"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92,3</w:t>
            </w:r>
          </w:p>
        </w:tc>
        <w:tc>
          <w:tcPr>
            <w:tcW w:w="1520" w:type="dxa"/>
            <w:tcBorders>
              <w:top w:val="nil"/>
              <w:left w:val="nil"/>
              <w:bottom w:val="single" w:sz="4" w:space="0" w:color="auto"/>
              <w:right w:val="single" w:sz="4" w:space="0" w:color="auto"/>
            </w:tcBorders>
            <w:shd w:val="clear" w:color="000000" w:fill="FFFFFF"/>
            <w:noWrap/>
            <w:vAlign w:val="center"/>
            <w:hideMark/>
          </w:tcPr>
          <w:p w14:paraId="64814B4E"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86,2 - 98,8</w:t>
            </w:r>
          </w:p>
        </w:tc>
      </w:tr>
      <w:tr w:rsidR="007231F6" w:rsidRPr="007231F6" w14:paraId="23582957" w14:textId="77777777" w:rsidTr="007231F6">
        <w:trPr>
          <w:trHeight w:val="310"/>
        </w:trPr>
        <w:tc>
          <w:tcPr>
            <w:tcW w:w="5273" w:type="dxa"/>
            <w:tcBorders>
              <w:top w:val="nil"/>
              <w:left w:val="single" w:sz="4" w:space="0" w:color="auto"/>
              <w:bottom w:val="single" w:sz="4" w:space="0" w:color="auto"/>
              <w:right w:val="single" w:sz="4" w:space="0" w:color="auto"/>
            </w:tcBorders>
            <w:shd w:val="clear" w:color="000000" w:fill="FFFFFF"/>
            <w:hideMark/>
          </w:tcPr>
          <w:p w14:paraId="6C5C3DFF" w14:textId="77777777" w:rsidR="007231F6" w:rsidRPr="007231F6" w:rsidRDefault="007231F6" w:rsidP="007231F6">
            <w:pPr>
              <w:spacing w:after="0" w:line="240" w:lineRule="auto"/>
              <w:rPr>
                <w:rFonts w:eastAsia="Times New Roman" w:cstheme="minorHAnsi"/>
                <w:lang w:eastAsia="it-IT"/>
              </w:rPr>
            </w:pPr>
            <w:r w:rsidRPr="007231F6">
              <w:rPr>
                <w:rFonts w:eastAsia="Times New Roman" w:cstheme="minorHAnsi"/>
                <w:lang w:eastAsia="it-IT"/>
              </w:rPr>
              <w:t>Malattie dell'apparato urinario</w:t>
            </w:r>
          </w:p>
        </w:tc>
        <w:tc>
          <w:tcPr>
            <w:tcW w:w="760" w:type="dxa"/>
            <w:tcBorders>
              <w:top w:val="nil"/>
              <w:left w:val="nil"/>
              <w:bottom w:val="single" w:sz="4" w:space="0" w:color="auto"/>
              <w:right w:val="single" w:sz="4" w:space="0" w:color="auto"/>
            </w:tcBorders>
            <w:shd w:val="clear" w:color="000000" w:fill="FFFFFF"/>
            <w:hideMark/>
          </w:tcPr>
          <w:p w14:paraId="29C35ABF"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230</w:t>
            </w:r>
          </w:p>
        </w:tc>
        <w:tc>
          <w:tcPr>
            <w:tcW w:w="767" w:type="dxa"/>
            <w:tcBorders>
              <w:top w:val="nil"/>
              <w:left w:val="nil"/>
              <w:bottom w:val="single" w:sz="4" w:space="0" w:color="auto"/>
              <w:right w:val="single" w:sz="4" w:space="0" w:color="auto"/>
            </w:tcBorders>
            <w:shd w:val="clear" w:color="000000" w:fill="FFFFFF"/>
            <w:hideMark/>
          </w:tcPr>
          <w:p w14:paraId="467D15A5"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243</w:t>
            </w:r>
          </w:p>
        </w:tc>
        <w:tc>
          <w:tcPr>
            <w:tcW w:w="840" w:type="dxa"/>
            <w:tcBorders>
              <w:top w:val="nil"/>
              <w:left w:val="nil"/>
              <w:bottom w:val="single" w:sz="4" w:space="0" w:color="auto"/>
              <w:right w:val="single" w:sz="4" w:space="0" w:color="auto"/>
            </w:tcBorders>
            <w:shd w:val="clear" w:color="000000" w:fill="FFFFFF"/>
            <w:hideMark/>
          </w:tcPr>
          <w:p w14:paraId="47B446FD"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94,8</w:t>
            </w:r>
          </w:p>
        </w:tc>
        <w:tc>
          <w:tcPr>
            <w:tcW w:w="1520" w:type="dxa"/>
            <w:tcBorders>
              <w:top w:val="nil"/>
              <w:left w:val="nil"/>
              <w:bottom w:val="single" w:sz="4" w:space="0" w:color="auto"/>
              <w:right w:val="single" w:sz="4" w:space="0" w:color="auto"/>
            </w:tcBorders>
            <w:shd w:val="clear" w:color="000000" w:fill="FFFFFF"/>
            <w:noWrap/>
            <w:vAlign w:val="center"/>
            <w:hideMark/>
          </w:tcPr>
          <w:p w14:paraId="6A142EE6" w14:textId="77777777" w:rsidR="007231F6" w:rsidRPr="007231F6" w:rsidRDefault="007231F6" w:rsidP="007231F6">
            <w:pPr>
              <w:spacing w:after="0" w:line="240" w:lineRule="auto"/>
              <w:jc w:val="center"/>
              <w:rPr>
                <w:rFonts w:eastAsia="Times New Roman" w:cstheme="minorHAnsi"/>
                <w:lang w:eastAsia="it-IT"/>
              </w:rPr>
            </w:pPr>
            <w:r w:rsidRPr="007231F6">
              <w:rPr>
                <w:rFonts w:eastAsia="Times New Roman" w:cstheme="minorHAnsi"/>
                <w:lang w:eastAsia="it-IT"/>
              </w:rPr>
              <w:t>83,0 - 107,9</w:t>
            </w:r>
          </w:p>
        </w:tc>
      </w:tr>
    </w:tbl>
    <w:p w14:paraId="0836A4C8" w14:textId="77777777" w:rsidR="007231F6" w:rsidRDefault="007231F6" w:rsidP="00334DC3">
      <w:pPr>
        <w:jc w:val="both"/>
        <w:rPr>
          <w:b/>
        </w:rPr>
      </w:pPr>
    </w:p>
    <w:p w14:paraId="335C4CA5" w14:textId="77777777" w:rsidR="007231F6" w:rsidRDefault="007231F6" w:rsidP="00334DC3">
      <w:pPr>
        <w:jc w:val="both"/>
        <w:rPr>
          <w:b/>
        </w:rPr>
      </w:pPr>
    </w:p>
    <w:p w14:paraId="76F5346C" w14:textId="77777777" w:rsidR="007231F6" w:rsidRDefault="007231F6" w:rsidP="007231F6">
      <w:pPr>
        <w:jc w:val="both"/>
        <w:rPr>
          <w:b/>
        </w:rPr>
      </w:pPr>
      <w:r>
        <w:rPr>
          <w:b/>
        </w:rPr>
        <w:t>Tab</w:t>
      </w:r>
      <w:r w:rsidR="007A159F">
        <w:rPr>
          <w:b/>
        </w:rPr>
        <w:t xml:space="preserve">ella </w:t>
      </w:r>
      <w:r w:rsidR="00DD116F">
        <w:rPr>
          <w:b/>
        </w:rPr>
        <w:t>8</w:t>
      </w:r>
      <w:r w:rsidR="007A159F">
        <w:rPr>
          <w:b/>
        </w:rPr>
        <w:t>.</w:t>
      </w:r>
      <w:r>
        <w:rPr>
          <w:b/>
        </w:rPr>
        <w:t xml:space="preserve"> </w:t>
      </w:r>
      <w:r w:rsidR="00DD116F">
        <w:rPr>
          <w:b/>
        </w:rPr>
        <w:t xml:space="preserve">Area di Venafro. </w:t>
      </w:r>
      <w:r>
        <w:rPr>
          <w:b/>
        </w:rPr>
        <w:t>Numero di ricoverati, numero di casi attesi, rapporto standardizzato di ospedalizzazione (SHR) con IC 95%, per causa – Donne</w:t>
      </w:r>
    </w:p>
    <w:tbl>
      <w:tblPr>
        <w:tblW w:w="9160" w:type="dxa"/>
        <w:tblCellMar>
          <w:left w:w="70" w:type="dxa"/>
          <w:right w:w="70" w:type="dxa"/>
        </w:tblCellMar>
        <w:tblLook w:val="04A0" w:firstRow="1" w:lastRow="0" w:firstColumn="1" w:lastColumn="0" w:noHBand="0" w:noVBand="1"/>
      </w:tblPr>
      <w:tblGrid>
        <w:gridCol w:w="5280"/>
        <w:gridCol w:w="760"/>
        <w:gridCol w:w="760"/>
        <w:gridCol w:w="840"/>
        <w:gridCol w:w="1520"/>
      </w:tblGrid>
      <w:tr w:rsidR="007231F6" w:rsidRPr="007231F6" w14:paraId="0285BC5B" w14:textId="77777777" w:rsidTr="007231F6">
        <w:trPr>
          <w:trHeight w:val="450"/>
        </w:trPr>
        <w:tc>
          <w:tcPr>
            <w:tcW w:w="5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91550" w14:textId="77777777" w:rsidR="007231F6" w:rsidRPr="007231F6" w:rsidRDefault="007231F6" w:rsidP="007231F6">
            <w:pPr>
              <w:spacing w:after="0" w:line="240" w:lineRule="auto"/>
              <w:rPr>
                <w:rFonts w:eastAsia="Times New Roman" w:cstheme="minorHAnsi"/>
                <w:b/>
                <w:bCs/>
                <w:lang w:eastAsia="it-IT"/>
              </w:rPr>
            </w:pPr>
            <w:r w:rsidRPr="007231F6">
              <w:rPr>
                <w:rFonts w:eastAsia="Times New Roman" w:cstheme="minorHAnsi"/>
                <w:b/>
                <w:bCs/>
                <w:lang w:eastAsia="it-IT"/>
              </w:rPr>
              <w:t>Causa</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03E35E21"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casi</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49ED714"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attesi</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1CADF1DC"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SHR</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5824455C" w14:textId="77777777" w:rsidR="007231F6" w:rsidRPr="007231F6" w:rsidRDefault="007231F6" w:rsidP="007231F6">
            <w:pPr>
              <w:spacing w:after="0" w:line="240" w:lineRule="auto"/>
              <w:jc w:val="center"/>
              <w:rPr>
                <w:rFonts w:eastAsia="Times New Roman" w:cstheme="minorHAnsi"/>
                <w:b/>
                <w:bCs/>
                <w:lang w:eastAsia="it-IT"/>
              </w:rPr>
            </w:pPr>
            <w:r w:rsidRPr="007231F6">
              <w:rPr>
                <w:rFonts w:eastAsia="Times New Roman" w:cstheme="minorHAnsi"/>
                <w:b/>
                <w:bCs/>
                <w:lang w:eastAsia="it-IT"/>
              </w:rPr>
              <w:t>IC95%</w:t>
            </w:r>
          </w:p>
        </w:tc>
      </w:tr>
      <w:tr w:rsidR="007231F6" w:rsidRPr="007231F6" w14:paraId="79721175"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5F97B20B"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Tutti i tumori maligni</w:t>
            </w:r>
          </w:p>
        </w:tc>
        <w:tc>
          <w:tcPr>
            <w:tcW w:w="760" w:type="dxa"/>
            <w:tcBorders>
              <w:top w:val="nil"/>
              <w:left w:val="nil"/>
              <w:bottom w:val="single" w:sz="4" w:space="0" w:color="auto"/>
              <w:right w:val="single" w:sz="4" w:space="0" w:color="auto"/>
            </w:tcBorders>
            <w:shd w:val="clear" w:color="000000" w:fill="FFFFFF"/>
            <w:hideMark/>
          </w:tcPr>
          <w:p w14:paraId="599638AC"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417</w:t>
            </w:r>
          </w:p>
        </w:tc>
        <w:tc>
          <w:tcPr>
            <w:tcW w:w="760" w:type="dxa"/>
            <w:tcBorders>
              <w:top w:val="nil"/>
              <w:left w:val="nil"/>
              <w:bottom w:val="single" w:sz="4" w:space="0" w:color="auto"/>
              <w:right w:val="single" w:sz="4" w:space="0" w:color="auto"/>
            </w:tcBorders>
            <w:shd w:val="clear" w:color="000000" w:fill="FFFFFF"/>
            <w:hideMark/>
          </w:tcPr>
          <w:p w14:paraId="730905CF"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398</w:t>
            </w:r>
          </w:p>
        </w:tc>
        <w:tc>
          <w:tcPr>
            <w:tcW w:w="840" w:type="dxa"/>
            <w:tcBorders>
              <w:top w:val="nil"/>
              <w:left w:val="nil"/>
              <w:bottom w:val="single" w:sz="4" w:space="0" w:color="auto"/>
              <w:right w:val="single" w:sz="4" w:space="0" w:color="auto"/>
            </w:tcBorders>
            <w:shd w:val="clear" w:color="000000" w:fill="FFFFFF"/>
            <w:hideMark/>
          </w:tcPr>
          <w:p w14:paraId="3C30C28C"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104,8</w:t>
            </w:r>
          </w:p>
        </w:tc>
        <w:tc>
          <w:tcPr>
            <w:tcW w:w="1520" w:type="dxa"/>
            <w:tcBorders>
              <w:top w:val="nil"/>
              <w:left w:val="nil"/>
              <w:bottom w:val="single" w:sz="4" w:space="0" w:color="auto"/>
              <w:right w:val="single" w:sz="4" w:space="0" w:color="auto"/>
            </w:tcBorders>
            <w:shd w:val="clear" w:color="000000" w:fill="FFFFFF"/>
            <w:noWrap/>
            <w:vAlign w:val="center"/>
            <w:hideMark/>
          </w:tcPr>
          <w:p w14:paraId="35A44183"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95,0 - 115,3</w:t>
            </w:r>
          </w:p>
        </w:tc>
      </w:tr>
      <w:tr w:rsidR="007231F6" w:rsidRPr="007231F6" w14:paraId="6510B3DC"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2814B1A9"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 xml:space="preserve">   Tumore del polmone</w:t>
            </w:r>
          </w:p>
        </w:tc>
        <w:tc>
          <w:tcPr>
            <w:tcW w:w="760" w:type="dxa"/>
            <w:tcBorders>
              <w:top w:val="nil"/>
              <w:left w:val="nil"/>
              <w:bottom w:val="single" w:sz="4" w:space="0" w:color="auto"/>
              <w:right w:val="single" w:sz="4" w:space="0" w:color="auto"/>
            </w:tcBorders>
            <w:shd w:val="clear" w:color="000000" w:fill="FFFFFF"/>
            <w:hideMark/>
          </w:tcPr>
          <w:p w14:paraId="3CF0797C"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17</w:t>
            </w:r>
          </w:p>
        </w:tc>
        <w:tc>
          <w:tcPr>
            <w:tcW w:w="760" w:type="dxa"/>
            <w:tcBorders>
              <w:top w:val="nil"/>
              <w:left w:val="nil"/>
              <w:bottom w:val="single" w:sz="4" w:space="0" w:color="auto"/>
              <w:right w:val="single" w:sz="4" w:space="0" w:color="auto"/>
            </w:tcBorders>
            <w:shd w:val="clear" w:color="000000" w:fill="FFFFFF"/>
            <w:hideMark/>
          </w:tcPr>
          <w:p w14:paraId="707162C2"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15</w:t>
            </w:r>
          </w:p>
        </w:tc>
        <w:tc>
          <w:tcPr>
            <w:tcW w:w="840" w:type="dxa"/>
            <w:tcBorders>
              <w:top w:val="nil"/>
              <w:left w:val="nil"/>
              <w:bottom w:val="single" w:sz="4" w:space="0" w:color="auto"/>
              <w:right w:val="single" w:sz="4" w:space="0" w:color="auto"/>
            </w:tcBorders>
            <w:shd w:val="clear" w:color="000000" w:fill="FFFFFF"/>
            <w:hideMark/>
          </w:tcPr>
          <w:p w14:paraId="48E6AF14"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115,9</w:t>
            </w:r>
          </w:p>
        </w:tc>
        <w:tc>
          <w:tcPr>
            <w:tcW w:w="1520" w:type="dxa"/>
            <w:tcBorders>
              <w:top w:val="nil"/>
              <w:left w:val="nil"/>
              <w:bottom w:val="single" w:sz="4" w:space="0" w:color="auto"/>
              <w:right w:val="single" w:sz="4" w:space="0" w:color="auto"/>
            </w:tcBorders>
            <w:shd w:val="clear" w:color="000000" w:fill="FFFFFF"/>
            <w:noWrap/>
            <w:vAlign w:val="center"/>
            <w:hideMark/>
          </w:tcPr>
          <w:p w14:paraId="54D75CD1"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67,5 - 185,5</w:t>
            </w:r>
          </w:p>
        </w:tc>
      </w:tr>
      <w:tr w:rsidR="007231F6" w:rsidRPr="007231F6" w14:paraId="59FA944E"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4CD0FB61"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Malattie del sistema circolatorio</w:t>
            </w:r>
          </w:p>
        </w:tc>
        <w:tc>
          <w:tcPr>
            <w:tcW w:w="760" w:type="dxa"/>
            <w:tcBorders>
              <w:top w:val="nil"/>
              <w:left w:val="nil"/>
              <w:bottom w:val="single" w:sz="4" w:space="0" w:color="auto"/>
              <w:right w:val="single" w:sz="4" w:space="0" w:color="auto"/>
            </w:tcBorders>
            <w:shd w:val="clear" w:color="000000" w:fill="FFFFFF"/>
            <w:hideMark/>
          </w:tcPr>
          <w:p w14:paraId="084886C4"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1.028</w:t>
            </w:r>
          </w:p>
        </w:tc>
        <w:tc>
          <w:tcPr>
            <w:tcW w:w="760" w:type="dxa"/>
            <w:tcBorders>
              <w:top w:val="nil"/>
              <w:left w:val="nil"/>
              <w:bottom w:val="single" w:sz="4" w:space="0" w:color="auto"/>
              <w:right w:val="single" w:sz="4" w:space="0" w:color="auto"/>
            </w:tcBorders>
            <w:shd w:val="clear" w:color="000000" w:fill="FFFFFF"/>
            <w:hideMark/>
          </w:tcPr>
          <w:p w14:paraId="6166CE77"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889</w:t>
            </w:r>
          </w:p>
        </w:tc>
        <w:tc>
          <w:tcPr>
            <w:tcW w:w="840" w:type="dxa"/>
            <w:tcBorders>
              <w:top w:val="nil"/>
              <w:left w:val="nil"/>
              <w:bottom w:val="single" w:sz="4" w:space="0" w:color="auto"/>
              <w:right w:val="single" w:sz="4" w:space="0" w:color="auto"/>
            </w:tcBorders>
            <w:shd w:val="clear" w:color="000000" w:fill="FFFFFF"/>
            <w:hideMark/>
          </w:tcPr>
          <w:p w14:paraId="400B8D16"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115,6</w:t>
            </w:r>
          </w:p>
        </w:tc>
        <w:tc>
          <w:tcPr>
            <w:tcW w:w="1520" w:type="dxa"/>
            <w:tcBorders>
              <w:top w:val="nil"/>
              <w:left w:val="nil"/>
              <w:bottom w:val="single" w:sz="4" w:space="0" w:color="auto"/>
              <w:right w:val="single" w:sz="4" w:space="0" w:color="auto"/>
            </w:tcBorders>
            <w:shd w:val="clear" w:color="000000" w:fill="FFFFFF"/>
            <w:noWrap/>
            <w:vAlign w:val="center"/>
            <w:hideMark/>
          </w:tcPr>
          <w:p w14:paraId="16306760"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108,7 - 122,9</w:t>
            </w:r>
          </w:p>
        </w:tc>
      </w:tr>
      <w:tr w:rsidR="007231F6" w:rsidRPr="007231F6" w14:paraId="143F5185"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7D186AA5"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 xml:space="preserve">   Malattie cardiache</w:t>
            </w:r>
          </w:p>
        </w:tc>
        <w:tc>
          <w:tcPr>
            <w:tcW w:w="760" w:type="dxa"/>
            <w:tcBorders>
              <w:top w:val="nil"/>
              <w:left w:val="nil"/>
              <w:bottom w:val="single" w:sz="4" w:space="0" w:color="auto"/>
              <w:right w:val="single" w:sz="4" w:space="0" w:color="auto"/>
            </w:tcBorders>
            <w:shd w:val="clear" w:color="000000" w:fill="FFFFFF"/>
            <w:hideMark/>
          </w:tcPr>
          <w:p w14:paraId="2CC034E1"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632</w:t>
            </w:r>
          </w:p>
        </w:tc>
        <w:tc>
          <w:tcPr>
            <w:tcW w:w="760" w:type="dxa"/>
            <w:tcBorders>
              <w:top w:val="nil"/>
              <w:left w:val="nil"/>
              <w:bottom w:val="single" w:sz="4" w:space="0" w:color="auto"/>
              <w:right w:val="single" w:sz="4" w:space="0" w:color="auto"/>
            </w:tcBorders>
            <w:shd w:val="clear" w:color="000000" w:fill="FFFFFF"/>
            <w:hideMark/>
          </w:tcPr>
          <w:p w14:paraId="64B955CE"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580</w:t>
            </w:r>
          </w:p>
        </w:tc>
        <w:tc>
          <w:tcPr>
            <w:tcW w:w="840" w:type="dxa"/>
            <w:tcBorders>
              <w:top w:val="nil"/>
              <w:left w:val="nil"/>
              <w:bottom w:val="single" w:sz="4" w:space="0" w:color="auto"/>
              <w:right w:val="single" w:sz="4" w:space="0" w:color="auto"/>
            </w:tcBorders>
            <w:shd w:val="clear" w:color="000000" w:fill="FFFFFF"/>
            <w:hideMark/>
          </w:tcPr>
          <w:p w14:paraId="351DB746"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109,0</w:t>
            </w:r>
          </w:p>
        </w:tc>
        <w:tc>
          <w:tcPr>
            <w:tcW w:w="1520" w:type="dxa"/>
            <w:tcBorders>
              <w:top w:val="nil"/>
              <w:left w:val="nil"/>
              <w:bottom w:val="single" w:sz="4" w:space="0" w:color="auto"/>
              <w:right w:val="single" w:sz="4" w:space="0" w:color="auto"/>
            </w:tcBorders>
            <w:shd w:val="clear" w:color="000000" w:fill="FFFFFF"/>
            <w:noWrap/>
            <w:vAlign w:val="center"/>
            <w:hideMark/>
          </w:tcPr>
          <w:p w14:paraId="500CC06F"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100,7 - 117,9</w:t>
            </w:r>
          </w:p>
        </w:tc>
      </w:tr>
      <w:tr w:rsidR="007231F6" w:rsidRPr="007231F6" w14:paraId="46CDF45E"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5C272412"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 xml:space="preserve">   Malattie cerebrovascolari</w:t>
            </w:r>
          </w:p>
        </w:tc>
        <w:tc>
          <w:tcPr>
            <w:tcW w:w="760" w:type="dxa"/>
            <w:tcBorders>
              <w:top w:val="nil"/>
              <w:left w:val="nil"/>
              <w:bottom w:val="single" w:sz="4" w:space="0" w:color="auto"/>
              <w:right w:val="single" w:sz="4" w:space="0" w:color="auto"/>
            </w:tcBorders>
            <w:shd w:val="clear" w:color="000000" w:fill="FFFFFF"/>
            <w:hideMark/>
          </w:tcPr>
          <w:p w14:paraId="649FAEB0"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460</w:t>
            </w:r>
          </w:p>
        </w:tc>
        <w:tc>
          <w:tcPr>
            <w:tcW w:w="760" w:type="dxa"/>
            <w:tcBorders>
              <w:top w:val="nil"/>
              <w:left w:val="nil"/>
              <w:bottom w:val="single" w:sz="4" w:space="0" w:color="auto"/>
              <w:right w:val="single" w:sz="4" w:space="0" w:color="auto"/>
            </w:tcBorders>
            <w:shd w:val="clear" w:color="000000" w:fill="FFFFFF"/>
            <w:hideMark/>
          </w:tcPr>
          <w:p w14:paraId="5CFD8235"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283</w:t>
            </w:r>
          </w:p>
        </w:tc>
        <w:tc>
          <w:tcPr>
            <w:tcW w:w="840" w:type="dxa"/>
            <w:tcBorders>
              <w:top w:val="nil"/>
              <w:left w:val="nil"/>
              <w:bottom w:val="single" w:sz="4" w:space="0" w:color="auto"/>
              <w:right w:val="single" w:sz="4" w:space="0" w:color="auto"/>
            </w:tcBorders>
            <w:shd w:val="clear" w:color="000000" w:fill="FFFFFF"/>
            <w:hideMark/>
          </w:tcPr>
          <w:p w14:paraId="04791728"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162,3</w:t>
            </w:r>
          </w:p>
        </w:tc>
        <w:tc>
          <w:tcPr>
            <w:tcW w:w="1520" w:type="dxa"/>
            <w:tcBorders>
              <w:top w:val="nil"/>
              <w:left w:val="nil"/>
              <w:bottom w:val="single" w:sz="4" w:space="0" w:color="auto"/>
              <w:right w:val="single" w:sz="4" w:space="0" w:color="auto"/>
            </w:tcBorders>
            <w:shd w:val="clear" w:color="000000" w:fill="FFFFFF"/>
            <w:noWrap/>
            <w:vAlign w:val="center"/>
            <w:hideMark/>
          </w:tcPr>
          <w:p w14:paraId="3479FC39"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147,8 - 177,9</w:t>
            </w:r>
          </w:p>
        </w:tc>
      </w:tr>
      <w:tr w:rsidR="007231F6" w:rsidRPr="007231F6" w14:paraId="773F8DCB"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662495EF"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Malattie del sistema respiratorio</w:t>
            </w:r>
          </w:p>
        </w:tc>
        <w:tc>
          <w:tcPr>
            <w:tcW w:w="760" w:type="dxa"/>
            <w:tcBorders>
              <w:top w:val="nil"/>
              <w:left w:val="nil"/>
              <w:bottom w:val="single" w:sz="4" w:space="0" w:color="auto"/>
              <w:right w:val="single" w:sz="4" w:space="0" w:color="auto"/>
            </w:tcBorders>
            <w:shd w:val="clear" w:color="000000" w:fill="FFFFFF"/>
            <w:hideMark/>
          </w:tcPr>
          <w:p w14:paraId="2498DF39"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577</w:t>
            </w:r>
          </w:p>
        </w:tc>
        <w:tc>
          <w:tcPr>
            <w:tcW w:w="760" w:type="dxa"/>
            <w:tcBorders>
              <w:top w:val="nil"/>
              <w:left w:val="nil"/>
              <w:bottom w:val="single" w:sz="4" w:space="0" w:color="auto"/>
              <w:right w:val="single" w:sz="4" w:space="0" w:color="auto"/>
            </w:tcBorders>
            <w:shd w:val="clear" w:color="000000" w:fill="FFFFFF"/>
            <w:hideMark/>
          </w:tcPr>
          <w:p w14:paraId="17B848AE"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488</w:t>
            </w:r>
          </w:p>
        </w:tc>
        <w:tc>
          <w:tcPr>
            <w:tcW w:w="840" w:type="dxa"/>
            <w:tcBorders>
              <w:top w:val="nil"/>
              <w:left w:val="nil"/>
              <w:bottom w:val="single" w:sz="4" w:space="0" w:color="auto"/>
              <w:right w:val="single" w:sz="4" w:space="0" w:color="auto"/>
            </w:tcBorders>
            <w:shd w:val="clear" w:color="000000" w:fill="FFFFFF"/>
            <w:hideMark/>
          </w:tcPr>
          <w:p w14:paraId="13C8ECD1"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118,2</w:t>
            </w:r>
          </w:p>
        </w:tc>
        <w:tc>
          <w:tcPr>
            <w:tcW w:w="1520" w:type="dxa"/>
            <w:tcBorders>
              <w:top w:val="nil"/>
              <w:left w:val="nil"/>
              <w:bottom w:val="single" w:sz="4" w:space="0" w:color="auto"/>
              <w:right w:val="single" w:sz="4" w:space="0" w:color="auto"/>
            </w:tcBorders>
            <w:shd w:val="clear" w:color="000000" w:fill="FFFFFF"/>
            <w:noWrap/>
            <w:vAlign w:val="center"/>
            <w:hideMark/>
          </w:tcPr>
          <w:p w14:paraId="1E31CAD8"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108,8 - 128,3</w:t>
            </w:r>
          </w:p>
        </w:tc>
      </w:tr>
      <w:tr w:rsidR="007231F6" w:rsidRPr="007231F6" w14:paraId="598BC789"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5C2F8FF8"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 xml:space="preserve">   Malattie respiratorie acute</w:t>
            </w:r>
          </w:p>
        </w:tc>
        <w:tc>
          <w:tcPr>
            <w:tcW w:w="760" w:type="dxa"/>
            <w:tcBorders>
              <w:top w:val="nil"/>
              <w:left w:val="nil"/>
              <w:bottom w:val="single" w:sz="4" w:space="0" w:color="auto"/>
              <w:right w:val="single" w:sz="4" w:space="0" w:color="auto"/>
            </w:tcBorders>
            <w:shd w:val="clear" w:color="000000" w:fill="FFFFFF"/>
            <w:hideMark/>
          </w:tcPr>
          <w:p w14:paraId="27B2F43D"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179</w:t>
            </w:r>
          </w:p>
        </w:tc>
        <w:tc>
          <w:tcPr>
            <w:tcW w:w="760" w:type="dxa"/>
            <w:tcBorders>
              <w:top w:val="nil"/>
              <w:left w:val="nil"/>
              <w:bottom w:val="single" w:sz="4" w:space="0" w:color="auto"/>
              <w:right w:val="single" w:sz="4" w:space="0" w:color="auto"/>
            </w:tcBorders>
            <w:shd w:val="clear" w:color="000000" w:fill="FFFFFF"/>
            <w:hideMark/>
          </w:tcPr>
          <w:p w14:paraId="17508528"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171</w:t>
            </w:r>
          </w:p>
        </w:tc>
        <w:tc>
          <w:tcPr>
            <w:tcW w:w="840" w:type="dxa"/>
            <w:tcBorders>
              <w:top w:val="nil"/>
              <w:left w:val="nil"/>
              <w:bottom w:val="single" w:sz="4" w:space="0" w:color="auto"/>
              <w:right w:val="single" w:sz="4" w:space="0" w:color="auto"/>
            </w:tcBorders>
            <w:shd w:val="clear" w:color="000000" w:fill="FFFFFF"/>
            <w:hideMark/>
          </w:tcPr>
          <w:p w14:paraId="0710FD77"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104,7</w:t>
            </w:r>
          </w:p>
        </w:tc>
        <w:tc>
          <w:tcPr>
            <w:tcW w:w="1520" w:type="dxa"/>
            <w:tcBorders>
              <w:top w:val="nil"/>
              <w:left w:val="nil"/>
              <w:bottom w:val="single" w:sz="4" w:space="0" w:color="auto"/>
              <w:right w:val="single" w:sz="4" w:space="0" w:color="auto"/>
            </w:tcBorders>
            <w:shd w:val="clear" w:color="000000" w:fill="FFFFFF"/>
            <w:noWrap/>
            <w:vAlign w:val="center"/>
            <w:hideMark/>
          </w:tcPr>
          <w:p w14:paraId="31D87EF8"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89,9 - 121,2</w:t>
            </w:r>
          </w:p>
        </w:tc>
      </w:tr>
      <w:tr w:rsidR="007231F6" w:rsidRPr="007231F6" w14:paraId="791EEBA4"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6272ABA2"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 xml:space="preserve">   Malattie respiratorie croniche</w:t>
            </w:r>
          </w:p>
        </w:tc>
        <w:tc>
          <w:tcPr>
            <w:tcW w:w="760" w:type="dxa"/>
            <w:tcBorders>
              <w:top w:val="nil"/>
              <w:left w:val="nil"/>
              <w:bottom w:val="single" w:sz="4" w:space="0" w:color="auto"/>
              <w:right w:val="single" w:sz="4" w:space="0" w:color="auto"/>
            </w:tcBorders>
            <w:shd w:val="clear" w:color="000000" w:fill="FFFFFF"/>
            <w:hideMark/>
          </w:tcPr>
          <w:p w14:paraId="642F5006"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82</w:t>
            </w:r>
          </w:p>
        </w:tc>
        <w:tc>
          <w:tcPr>
            <w:tcW w:w="760" w:type="dxa"/>
            <w:tcBorders>
              <w:top w:val="nil"/>
              <w:left w:val="nil"/>
              <w:bottom w:val="single" w:sz="4" w:space="0" w:color="auto"/>
              <w:right w:val="single" w:sz="4" w:space="0" w:color="auto"/>
            </w:tcBorders>
            <w:shd w:val="clear" w:color="000000" w:fill="FFFFFF"/>
            <w:hideMark/>
          </w:tcPr>
          <w:p w14:paraId="061DDEC9"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48</w:t>
            </w:r>
          </w:p>
        </w:tc>
        <w:tc>
          <w:tcPr>
            <w:tcW w:w="840" w:type="dxa"/>
            <w:tcBorders>
              <w:top w:val="nil"/>
              <w:left w:val="nil"/>
              <w:bottom w:val="single" w:sz="4" w:space="0" w:color="auto"/>
              <w:right w:val="single" w:sz="4" w:space="0" w:color="auto"/>
            </w:tcBorders>
            <w:shd w:val="clear" w:color="000000" w:fill="FFFFFF"/>
            <w:hideMark/>
          </w:tcPr>
          <w:p w14:paraId="42F86803"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171,3</w:t>
            </w:r>
          </w:p>
        </w:tc>
        <w:tc>
          <w:tcPr>
            <w:tcW w:w="1520" w:type="dxa"/>
            <w:tcBorders>
              <w:top w:val="nil"/>
              <w:left w:val="nil"/>
              <w:bottom w:val="single" w:sz="4" w:space="0" w:color="auto"/>
              <w:right w:val="single" w:sz="4" w:space="0" w:color="auto"/>
            </w:tcBorders>
            <w:shd w:val="clear" w:color="000000" w:fill="FFFFFF"/>
            <w:noWrap/>
            <w:vAlign w:val="center"/>
            <w:hideMark/>
          </w:tcPr>
          <w:p w14:paraId="4EBB0E42"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136,3 - 212,7</w:t>
            </w:r>
          </w:p>
        </w:tc>
      </w:tr>
      <w:tr w:rsidR="007231F6" w:rsidRPr="007231F6" w14:paraId="074B38C7"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3242E179"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Malattie dell'apparato digerente</w:t>
            </w:r>
          </w:p>
        </w:tc>
        <w:tc>
          <w:tcPr>
            <w:tcW w:w="760" w:type="dxa"/>
            <w:tcBorders>
              <w:top w:val="nil"/>
              <w:left w:val="nil"/>
              <w:bottom w:val="single" w:sz="4" w:space="0" w:color="auto"/>
              <w:right w:val="single" w:sz="4" w:space="0" w:color="auto"/>
            </w:tcBorders>
            <w:shd w:val="clear" w:color="000000" w:fill="FFFFFF"/>
            <w:hideMark/>
          </w:tcPr>
          <w:p w14:paraId="4AD0B234"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778</w:t>
            </w:r>
          </w:p>
        </w:tc>
        <w:tc>
          <w:tcPr>
            <w:tcW w:w="760" w:type="dxa"/>
            <w:tcBorders>
              <w:top w:val="nil"/>
              <w:left w:val="nil"/>
              <w:bottom w:val="single" w:sz="4" w:space="0" w:color="auto"/>
              <w:right w:val="single" w:sz="4" w:space="0" w:color="auto"/>
            </w:tcBorders>
            <w:shd w:val="clear" w:color="000000" w:fill="FFFFFF"/>
            <w:hideMark/>
          </w:tcPr>
          <w:p w14:paraId="43514729"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776</w:t>
            </w:r>
          </w:p>
        </w:tc>
        <w:tc>
          <w:tcPr>
            <w:tcW w:w="840" w:type="dxa"/>
            <w:tcBorders>
              <w:top w:val="nil"/>
              <w:left w:val="nil"/>
              <w:bottom w:val="single" w:sz="4" w:space="0" w:color="auto"/>
              <w:right w:val="single" w:sz="4" w:space="0" w:color="auto"/>
            </w:tcBorders>
            <w:shd w:val="clear" w:color="000000" w:fill="FFFFFF"/>
            <w:hideMark/>
          </w:tcPr>
          <w:p w14:paraId="2023DAAB"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100,3</w:t>
            </w:r>
          </w:p>
        </w:tc>
        <w:tc>
          <w:tcPr>
            <w:tcW w:w="1520" w:type="dxa"/>
            <w:tcBorders>
              <w:top w:val="nil"/>
              <w:left w:val="nil"/>
              <w:bottom w:val="single" w:sz="4" w:space="0" w:color="auto"/>
              <w:right w:val="single" w:sz="4" w:space="0" w:color="auto"/>
            </w:tcBorders>
            <w:shd w:val="clear" w:color="000000" w:fill="FFFFFF"/>
            <w:noWrap/>
            <w:vAlign w:val="center"/>
            <w:hideMark/>
          </w:tcPr>
          <w:p w14:paraId="1A88A5BE"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93,4 - 107,6</w:t>
            </w:r>
          </w:p>
        </w:tc>
      </w:tr>
      <w:tr w:rsidR="007231F6" w:rsidRPr="007231F6" w14:paraId="426E722C" w14:textId="77777777" w:rsidTr="007231F6">
        <w:trPr>
          <w:trHeight w:val="310"/>
        </w:trPr>
        <w:tc>
          <w:tcPr>
            <w:tcW w:w="5280" w:type="dxa"/>
            <w:tcBorders>
              <w:top w:val="nil"/>
              <w:left w:val="single" w:sz="4" w:space="0" w:color="auto"/>
              <w:bottom w:val="single" w:sz="4" w:space="0" w:color="auto"/>
              <w:right w:val="single" w:sz="4" w:space="0" w:color="auto"/>
            </w:tcBorders>
            <w:shd w:val="clear" w:color="000000" w:fill="FFFFFF"/>
            <w:hideMark/>
          </w:tcPr>
          <w:p w14:paraId="6BCDDA18" w14:textId="77777777" w:rsidR="007231F6" w:rsidRPr="007231F6" w:rsidRDefault="007231F6" w:rsidP="007231F6">
            <w:pPr>
              <w:spacing w:after="0" w:line="240" w:lineRule="auto"/>
              <w:rPr>
                <w:rFonts w:eastAsia="Times New Roman" w:cstheme="minorHAnsi"/>
                <w:bCs/>
                <w:lang w:eastAsia="it-IT"/>
              </w:rPr>
            </w:pPr>
            <w:r w:rsidRPr="007231F6">
              <w:rPr>
                <w:rFonts w:eastAsia="Times New Roman" w:cstheme="minorHAnsi"/>
                <w:bCs/>
                <w:lang w:eastAsia="it-IT"/>
              </w:rPr>
              <w:t>Malattie dell'apparato urinario</w:t>
            </w:r>
          </w:p>
        </w:tc>
        <w:tc>
          <w:tcPr>
            <w:tcW w:w="760" w:type="dxa"/>
            <w:tcBorders>
              <w:top w:val="nil"/>
              <w:left w:val="nil"/>
              <w:bottom w:val="single" w:sz="4" w:space="0" w:color="auto"/>
              <w:right w:val="single" w:sz="4" w:space="0" w:color="auto"/>
            </w:tcBorders>
            <w:shd w:val="clear" w:color="000000" w:fill="FFFFFF"/>
            <w:hideMark/>
          </w:tcPr>
          <w:p w14:paraId="5334C693"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168</w:t>
            </w:r>
          </w:p>
        </w:tc>
        <w:tc>
          <w:tcPr>
            <w:tcW w:w="760" w:type="dxa"/>
            <w:tcBorders>
              <w:top w:val="nil"/>
              <w:left w:val="nil"/>
              <w:bottom w:val="single" w:sz="4" w:space="0" w:color="auto"/>
              <w:right w:val="single" w:sz="4" w:space="0" w:color="auto"/>
            </w:tcBorders>
            <w:shd w:val="clear" w:color="000000" w:fill="FFFFFF"/>
            <w:hideMark/>
          </w:tcPr>
          <w:p w14:paraId="2AB2D8FC"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184</w:t>
            </w:r>
          </w:p>
        </w:tc>
        <w:tc>
          <w:tcPr>
            <w:tcW w:w="840" w:type="dxa"/>
            <w:tcBorders>
              <w:top w:val="nil"/>
              <w:left w:val="nil"/>
              <w:bottom w:val="single" w:sz="4" w:space="0" w:color="auto"/>
              <w:right w:val="single" w:sz="4" w:space="0" w:color="auto"/>
            </w:tcBorders>
            <w:shd w:val="clear" w:color="000000" w:fill="FFFFFF"/>
            <w:hideMark/>
          </w:tcPr>
          <w:p w14:paraId="2A3AFE62"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91,4</w:t>
            </w:r>
          </w:p>
        </w:tc>
        <w:tc>
          <w:tcPr>
            <w:tcW w:w="1520" w:type="dxa"/>
            <w:tcBorders>
              <w:top w:val="nil"/>
              <w:left w:val="nil"/>
              <w:bottom w:val="single" w:sz="4" w:space="0" w:color="auto"/>
              <w:right w:val="single" w:sz="4" w:space="0" w:color="auto"/>
            </w:tcBorders>
            <w:shd w:val="clear" w:color="000000" w:fill="FFFFFF"/>
            <w:noWrap/>
            <w:vAlign w:val="center"/>
            <w:hideMark/>
          </w:tcPr>
          <w:p w14:paraId="343DD057" w14:textId="77777777" w:rsidR="007231F6" w:rsidRPr="007231F6" w:rsidRDefault="007231F6" w:rsidP="007231F6">
            <w:pPr>
              <w:spacing w:after="0" w:line="240" w:lineRule="auto"/>
              <w:jc w:val="center"/>
              <w:rPr>
                <w:rFonts w:eastAsia="Times New Roman" w:cstheme="minorHAnsi"/>
                <w:bCs/>
                <w:lang w:eastAsia="it-IT"/>
              </w:rPr>
            </w:pPr>
            <w:r w:rsidRPr="007231F6">
              <w:rPr>
                <w:rFonts w:eastAsia="Times New Roman" w:cstheme="minorHAnsi"/>
                <w:bCs/>
                <w:lang w:eastAsia="it-IT"/>
              </w:rPr>
              <w:t>78,1 - 106,3</w:t>
            </w:r>
          </w:p>
        </w:tc>
      </w:tr>
    </w:tbl>
    <w:p w14:paraId="221ED049" w14:textId="77777777" w:rsidR="00334DC3" w:rsidRDefault="00334DC3" w:rsidP="006B2CCB">
      <w:pPr>
        <w:jc w:val="both"/>
        <w:rPr>
          <w:b/>
        </w:rPr>
      </w:pPr>
    </w:p>
    <w:p w14:paraId="1329533E" w14:textId="77777777" w:rsidR="009A0F89" w:rsidRDefault="009A0F89" w:rsidP="006B2CCB">
      <w:pPr>
        <w:jc w:val="both"/>
        <w:rPr>
          <w:b/>
        </w:rPr>
      </w:pPr>
    </w:p>
    <w:p w14:paraId="336B3961" w14:textId="77777777" w:rsidR="009A0F89" w:rsidRDefault="009A0F89" w:rsidP="006B2CCB">
      <w:pPr>
        <w:jc w:val="both"/>
        <w:rPr>
          <w:b/>
        </w:rPr>
      </w:pPr>
    </w:p>
    <w:p w14:paraId="33851F7F" w14:textId="77777777" w:rsidR="009A0F89" w:rsidRPr="009A0F89" w:rsidRDefault="009A0F89" w:rsidP="006B2CCB">
      <w:pPr>
        <w:jc w:val="both"/>
        <w:rPr>
          <w:b/>
          <w:i/>
        </w:rPr>
      </w:pPr>
    </w:p>
    <w:p w14:paraId="15161C23" w14:textId="57687DB0" w:rsidR="009A0F89" w:rsidRPr="009A0F89" w:rsidRDefault="009A0F89" w:rsidP="009A0F89">
      <w:pPr>
        <w:jc w:val="right"/>
        <w:rPr>
          <w:i/>
        </w:rPr>
      </w:pPr>
      <w:bookmarkStart w:id="0" w:name="_GoBack"/>
      <w:bookmarkEnd w:id="0"/>
    </w:p>
    <w:sectPr w:rsidR="009A0F89" w:rsidRPr="009A0F89">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2F55" w14:textId="77777777" w:rsidR="00DD5E45" w:rsidRDefault="00DD5E45" w:rsidP="009A0F89">
      <w:pPr>
        <w:spacing w:after="0" w:line="240" w:lineRule="auto"/>
      </w:pPr>
      <w:r>
        <w:separator/>
      </w:r>
    </w:p>
  </w:endnote>
  <w:endnote w:type="continuationSeparator" w:id="0">
    <w:p w14:paraId="5DB6A522" w14:textId="77777777" w:rsidR="00DD5E45" w:rsidRDefault="00DD5E45" w:rsidP="009A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29DB" w14:textId="77777777" w:rsidR="009A0F89" w:rsidRDefault="009A0F89" w:rsidP="0084077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CAB350" w14:textId="77777777" w:rsidR="009A0F89" w:rsidRDefault="009A0F89" w:rsidP="009A0F8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DBE1" w14:textId="163A587B" w:rsidR="009A0F89" w:rsidRDefault="009A0F89" w:rsidP="0084077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4180">
      <w:rPr>
        <w:rStyle w:val="Numeropagina"/>
        <w:noProof/>
      </w:rPr>
      <w:t>6</w:t>
    </w:r>
    <w:r>
      <w:rPr>
        <w:rStyle w:val="Numeropagina"/>
      </w:rPr>
      <w:fldChar w:fldCharType="end"/>
    </w:r>
  </w:p>
  <w:p w14:paraId="703425F8" w14:textId="77777777" w:rsidR="009A0F89" w:rsidRDefault="009A0F89" w:rsidP="009A0F8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773D" w14:textId="77777777" w:rsidR="00DD5E45" w:rsidRDefault="00DD5E45" w:rsidP="009A0F89">
      <w:pPr>
        <w:spacing w:after="0" w:line="240" w:lineRule="auto"/>
      </w:pPr>
      <w:r>
        <w:separator/>
      </w:r>
    </w:p>
  </w:footnote>
  <w:footnote w:type="continuationSeparator" w:id="0">
    <w:p w14:paraId="575A8DF8" w14:textId="77777777" w:rsidR="00DD5E45" w:rsidRDefault="00DD5E45" w:rsidP="009A0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C3"/>
    <w:rsid w:val="00026930"/>
    <w:rsid w:val="00096355"/>
    <w:rsid w:val="001265B5"/>
    <w:rsid w:val="00213F20"/>
    <w:rsid w:val="0022616A"/>
    <w:rsid w:val="00334DC3"/>
    <w:rsid w:val="00351DE2"/>
    <w:rsid w:val="003D3E65"/>
    <w:rsid w:val="00567979"/>
    <w:rsid w:val="005A1383"/>
    <w:rsid w:val="005A5B4B"/>
    <w:rsid w:val="006B2CCB"/>
    <w:rsid w:val="006E2B10"/>
    <w:rsid w:val="007231F6"/>
    <w:rsid w:val="007A159F"/>
    <w:rsid w:val="009913DD"/>
    <w:rsid w:val="009A0F89"/>
    <w:rsid w:val="00C801B2"/>
    <w:rsid w:val="00D24180"/>
    <w:rsid w:val="00D6181A"/>
    <w:rsid w:val="00DC3F02"/>
    <w:rsid w:val="00DD116F"/>
    <w:rsid w:val="00DD5E45"/>
    <w:rsid w:val="00F8706D"/>
    <w:rsid w:val="00FF7E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7D9E0"/>
  <w15:docId w15:val="{4BED4118-62FE-4847-8D27-C0DA1FA8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13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3DD"/>
    <w:rPr>
      <w:rFonts w:ascii="Segoe UI" w:hAnsi="Segoe UI" w:cs="Segoe UI"/>
      <w:sz w:val="18"/>
      <w:szCs w:val="18"/>
    </w:rPr>
  </w:style>
  <w:style w:type="paragraph" w:styleId="Testonormale">
    <w:name w:val="Plain Text"/>
    <w:basedOn w:val="Normale"/>
    <w:link w:val="TestonormaleCarattere"/>
    <w:uiPriority w:val="99"/>
    <w:semiHidden/>
    <w:unhideWhenUsed/>
    <w:rsid w:val="00DD116F"/>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DD116F"/>
    <w:rPr>
      <w:rFonts w:ascii="Consolas" w:hAnsi="Consolas"/>
      <w:sz w:val="21"/>
      <w:szCs w:val="21"/>
    </w:rPr>
  </w:style>
  <w:style w:type="table" w:styleId="Grigliatabella">
    <w:name w:val="Table Grid"/>
    <w:basedOn w:val="Tabellanormale"/>
    <w:uiPriority w:val="39"/>
    <w:rsid w:val="0056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A0F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0F89"/>
  </w:style>
  <w:style w:type="character" w:styleId="Numeropagina">
    <w:name w:val="page number"/>
    <w:basedOn w:val="Carpredefinitoparagrafo"/>
    <w:uiPriority w:val="99"/>
    <w:semiHidden/>
    <w:unhideWhenUsed/>
    <w:rsid w:val="009A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1798">
      <w:bodyDiv w:val="1"/>
      <w:marLeft w:val="0"/>
      <w:marRight w:val="0"/>
      <w:marTop w:val="0"/>
      <w:marBottom w:val="0"/>
      <w:divBdr>
        <w:top w:val="none" w:sz="0" w:space="0" w:color="auto"/>
        <w:left w:val="none" w:sz="0" w:space="0" w:color="auto"/>
        <w:bottom w:val="none" w:sz="0" w:space="0" w:color="auto"/>
        <w:right w:val="none" w:sz="0" w:space="0" w:color="auto"/>
      </w:divBdr>
    </w:div>
    <w:div w:id="200480319">
      <w:bodyDiv w:val="1"/>
      <w:marLeft w:val="0"/>
      <w:marRight w:val="0"/>
      <w:marTop w:val="0"/>
      <w:marBottom w:val="0"/>
      <w:divBdr>
        <w:top w:val="none" w:sz="0" w:space="0" w:color="auto"/>
        <w:left w:val="none" w:sz="0" w:space="0" w:color="auto"/>
        <w:bottom w:val="none" w:sz="0" w:space="0" w:color="auto"/>
        <w:right w:val="none" w:sz="0" w:space="0" w:color="auto"/>
      </w:divBdr>
    </w:div>
    <w:div w:id="377438815">
      <w:bodyDiv w:val="1"/>
      <w:marLeft w:val="0"/>
      <w:marRight w:val="0"/>
      <w:marTop w:val="0"/>
      <w:marBottom w:val="0"/>
      <w:divBdr>
        <w:top w:val="none" w:sz="0" w:space="0" w:color="auto"/>
        <w:left w:val="none" w:sz="0" w:space="0" w:color="auto"/>
        <w:bottom w:val="none" w:sz="0" w:space="0" w:color="auto"/>
        <w:right w:val="none" w:sz="0" w:space="0" w:color="auto"/>
      </w:divBdr>
    </w:div>
    <w:div w:id="435832411">
      <w:bodyDiv w:val="1"/>
      <w:marLeft w:val="0"/>
      <w:marRight w:val="0"/>
      <w:marTop w:val="0"/>
      <w:marBottom w:val="0"/>
      <w:divBdr>
        <w:top w:val="none" w:sz="0" w:space="0" w:color="auto"/>
        <w:left w:val="none" w:sz="0" w:space="0" w:color="auto"/>
        <w:bottom w:val="none" w:sz="0" w:space="0" w:color="auto"/>
        <w:right w:val="none" w:sz="0" w:space="0" w:color="auto"/>
      </w:divBdr>
    </w:div>
    <w:div w:id="570625053">
      <w:bodyDiv w:val="1"/>
      <w:marLeft w:val="0"/>
      <w:marRight w:val="0"/>
      <w:marTop w:val="0"/>
      <w:marBottom w:val="0"/>
      <w:divBdr>
        <w:top w:val="none" w:sz="0" w:space="0" w:color="auto"/>
        <w:left w:val="none" w:sz="0" w:space="0" w:color="auto"/>
        <w:bottom w:val="none" w:sz="0" w:space="0" w:color="auto"/>
        <w:right w:val="none" w:sz="0" w:space="0" w:color="auto"/>
      </w:divBdr>
    </w:div>
    <w:div w:id="716589908">
      <w:bodyDiv w:val="1"/>
      <w:marLeft w:val="0"/>
      <w:marRight w:val="0"/>
      <w:marTop w:val="0"/>
      <w:marBottom w:val="0"/>
      <w:divBdr>
        <w:top w:val="none" w:sz="0" w:space="0" w:color="auto"/>
        <w:left w:val="none" w:sz="0" w:space="0" w:color="auto"/>
        <w:bottom w:val="none" w:sz="0" w:space="0" w:color="auto"/>
        <w:right w:val="none" w:sz="0" w:space="0" w:color="auto"/>
      </w:divBdr>
    </w:div>
    <w:div w:id="766274816">
      <w:bodyDiv w:val="1"/>
      <w:marLeft w:val="0"/>
      <w:marRight w:val="0"/>
      <w:marTop w:val="0"/>
      <w:marBottom w:val="0"/>
      <w:divBdr>
        <w:top w:val="none" w:sz="0" w:space="0" w:color="auto"/>
        <w:left w:val="none" w:sz="0" w:space="0" w:color="auto"/>
        <w:bottom w:val="none" w:sz="0" w:space="0" w:color="auto"/>
        <w:right w:val="none" w:sz="0" w:space="0" w:color="auto"/>
      </w:divBdr>
    </w:div>
    <w:div w:id="816268961">
      <w:bodyDiv w:val="1"/>
      <w:marLeft w:val="0"/>
      <w:marRight w:val="0"/>
      <w:marTop w:val="0"/>
      <w:marBottom w:val="0"/>
      <w:divBdr>
        <w:top w:val="none" w:sz="0" w:space="0" w:color="auto"/>
        <w:left w:val="none" w:sz="0" w:space="0" w:color="auto"/>
        <w:bottom w:val="none" w:sz="0" w:space="0" w:color="auto"/>
        <w:right w:val="none" w:sz="0" w:space="0" w:color="auto"/>
      </w:divBdr>
    </w:div>
    <w:div w:id="977033829">
      <w:bodyDiv w:val="1"/>
      <w:marLeft w:val="0"/>
      <w:marRight w:val="0"/>
      <w:marTop w:val="0"/>
      <w:marBottom w:val="0"/>
      <w:divBdr>
        <w:top w:val="none" w:sz="0" w:space="0" w:color="auto"/>
        <w:left w:val="none" w:sz="0" w:space="0" w:color="auto"/>
        <w:bottom w:val="none" w:sz="0" w:space="0" w:color="auto"/>
        <w:right w:val="none" w:sz="0" w:space="0" w:color="auto"/>
      </w:divBdr>
    </w:div>
    <w:div w:id="1039474665">
      <w:bodyDiv w:val="1"/>
      <w:marLeft w:val="0"/>
      <w:marRight w:val="0"/>
      <w:marTop w:val="0"/>
      <w:marBottom w:val="0"/>
      <w:divBdr>
        <w:top w:val="none" w:sz="0" w:space="0" w:color="auto"/>
        <w:left w:val="none" w:sz="0" w:space="0" w:color="auto"/>
        <w:bottom w:val="none" w:sz="0" w:space="0" w:color="auto"/>
        <w:right w:val="none" w:sz="0" w:space="0" w:color="auto"/>
      </w:divBdr>
    </w:div>
    <w:div w:id="1254511897">
      <w:bodyDiv w:val="1"/>
      <w:marLeft w:val="0"/>
      <w:marRight w:val="0"/>
      <w:marTop w:val="0"/>
      <w:marBottom w:val="0"/>
      <w:divBdr>
        <w:top w:val="none" w:sz="0" w:space="0" w:color="auto"/>
        <w:left w:val="none" w:sz="0" w:space="0" w:color="auto"/>
        <w:bottom w:val="none" w:sz="0" w:space="0" w:color="auto"/>
        <w:right w:val="none" w:sz="0" w:space="0" w:color="auto"/>
      </w:divBdr>
    </w:div>
    <w:div w:id="1555659882">
      <w:bodyDiv w:val="1"/>
      <w:marLeft w:val="0"/>
      <w:marRight w:val="0"/>
      <w:marTop w:val="0"/>
      <w:marBottom w:val="0"/>
      <w:divBdr>
        <w:top w:val="none" w:sz="0" w:space="0" w:color="auto"/>
        <w:left w:val="none" w:sz="0" w:space="0" w:color="auto"/>
        <w:bottom w:val="none" w:sz="0" w:space="0" w:color="auto"/>
        <w:right w:val="none" w:sz="0" w:space="0" w:color="auto"/>
      </w:divBdr>
    </w:div>
    <w:div w:id="1569995214">
      <w:bodyDiv w:val="1"/>
      <w:marLeft w:val="0"/>
      <w:marRight w:val="0"/>
      <w:marTop w:val="0"/>
      <w:marBottom w:val="0"/>
      <w:divBdr>
        <w:top w:val="none" w:sz="0" w:space="0" w:color="auto"/>
        <w:left w:val="none" w:sz="0" w:space="0" w:color="auto"/>
        <w:bottom w:val="none" w:sz="0" w:space="0" w:color="auto"/>
        <w:right w:val="none" w:sz="0" w:space="0" w:color="auto"/>
      </w:divBdr>
    </w:div>
    <w:div w:id="1692336341">
      <w:bodyDiv w:val="1"/>
      <w:marLeft w:val="0"/>
      <w:marRight w:val="0"/>
      <w:marTop w:val="0"/>
      <w:marBottom w:val="0"/>
      <w:divBdr>
        <w:top w:val="none" w:sz="0" w:space="0" w:color="auto"/>
        <w:left w:val="none" w:sz="0" w:space="0" w:color="auto"/>
        <w:bottom w:val="none" w:sz="0" w:space="0" w:color="auto"/>
        <w:right w:val="none" w:sz="0" w:space="0" w:color="auto"/>
      </w:divBdr>
    </w:div>
    <w:div w:id="1844472186">
      <w:bodyDiv w:val="1"/>
      <w:marLeft w:val="0"/>
      <w:marRight w:val="0"/>
      <w:marTop w:val="0"/>
      <w:marBottom w:val="0"/>
      <w:divBdr>
        <w:top w:val="none" w:sz="0" w:space="0" w:color="auto"/>
        <w:left w:val="none" w:sz="0" w:space="0" w:color="auto"/>
        <w:bottom w:val="none" w:sz="0" w:space="0" w:color="auto"/>
        <w:right w:val="none" w:sz="0" w:space="0" w:color="auto"/>
      </w:divBdr>
    </w:div>
    <w:div w:id="1882131601">
      <w:bodyDiv w:val="1"/>
      <w:marLeft w:val="0"/>
      <w:marRight w:val="0"/>
      <w:marTop w:val="0"/>
      <w:marBottom w:val="0"/>
      <w:divBdr>
        <w:top w:val="none" w:sz="0" w:space="0" w:color="auto"/>
        <w:left w:val="none" w:sz="0" w:space="0" w:color="auto"/>
        <w:bottom w:val="none" w:sz="0" w:space="0" w:color="auto"/>
        <w:right w:val="none" w:sz="0" w:space="0" w:color="auto"/>
      </w:divBdr>
    </w:div>
    <w:div w:id="1918398477">
      <w:bodyDiv w:val="1"/>
      <w:marLeft w:val="0"/>
      <w:marRight w:val="0"/>
      <w:marTop w:val="0"/>
      <w:marBottom w:val="0"/>
      <w:divBdr>
        <w:top w:val="none" w:sz="0" w:space="0" w:color="auto"/>
        <w:left w:val="none" w:sz="0" w:space="0" w:color="auto"/>
        <w:bottom w:val="none" w:sz="0" w:space="0" w:color="auto"/>
        <w:right w:val="none" w:sz="0" w:space="0" w:color="auto"/>
      </w:divBdr>
    </w:div>
    <w:div w:id="1982954944">
      <w:bodyDiv w:val="1"/>
      <w:marLeft w:val="0"/>
      <w:marRight w:val="0"/>
      <w:marTop w:val="0"/>
      <w:marBottom w:val="0"/>
      <w:divBdr>
        <w:top w:val="none" w:sz="0" w:space="0" w:color="auto"/>
        <w:left w:val="none" w:sz="0" w:space="0" w:color="auto"/>
        <w:bottom w:val="none" w:sz="0" w:space="0" w:color="auto"/>
        <w:right w:val="none" w:sz="0" w:space="0" w:color="auto"/>
      </w:divBdr>
    </w:div>
    <w:div w:id="198334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1813</Words>
  <Characters>10340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ni</cp:lastModifiedBy>
  <cp:revision>3</cp:revision>
  <cp:lastPrinted>2018-02-26T11:51:00Z</cp:lastPrinted>
  <dcterms:created xsi:type="dcterms:W3CDTF">2018-11-15T09:09:00Z</dcterms:created>
  <dcterms:modified xsi:type="dcterms:W3CDTF">2018-11-15T09:10:00Z</dcterms:modified>
</cp:coreProperties>
</file>